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72F96386" w:rsidR="0044049C" w:rsidRPr="0044049C" w:rsidRDefault="0044049C" w:rsidP="00D85371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371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1CE84AEB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565BE5">
        <w:rPr>
          <w:rFonts w:ascii="Times New Roman" w:hAnsi="Times New Roman"/>
          <w:b/>
          <w:sz w:val="24"/>
          <w:szCs w:val="24"/>
        </w:rPr>
        <w:t>03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3641AF">
        <w:rPr>
          <w:rFonts w:ascii="Times New Roman" w:hAnsi="Times New Roman"/>
          <w:b/>
          <w:sz w:val="24"/>
          <w:szCs w:val="24"/>
        </w:rPr>
        <w:t>1</w:t>
      </w:r>
      <w:r w:rsidR="00565BE5">
        <w:rPr>
          <w:rFonts w:ascii="Times New Roman" w:hAnsi="Times New Roman"/>
          <w:b/>
          <w:sz w:val="24"/>
          <w:szCs w:val="24"/>
        </w:rPr>
        <w:t>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565BE5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44C0FCF8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</w:t>
      </w:r>
      <w:proofErr w:type="gramStart"/>
      <w:r w:rsidR="00565BE5">
        <w:rPr>
          <w:rFonts w:ascii="Times New Roman" w:hAnsi="Times New Roman"/>
          <w:b/>
          <w:sz w:val="24"/>
          <w:szCs w:val="24"/>
        </w:rPr>
        <w:t>Bachelor</w:t>
      </w:r>
      <w:r w:rsidR="005E2CB9">
        <w:rPr>
          <w:rFonts w:ascii="Times New Roman" w:hAnsi="Times New Roman"/>
          <w:b/>
          <w:sz w:val="24"/>
          <w:szCs w:val="24"/>
        </w:rPr>
        <w:t xml:space="preserve"> 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proofErr w:type="gramEnd"/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A72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="005E2CB9"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="005E2CB9">
        <w:rPr>
          <w:rFonts w:ascii="Times New Roman" w:hAnsi="Times New Roman"/>
          <w:b/>
          <w:sz w:val="24"/>
          <w:szCs w:val="24"/>
        </w:rPr>
        <w:t>Juridike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501CDF1B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>Specialist</w:t>
      </w:r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prokurimet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publike</w:t>
      </w:r>
      <w:proofErr w:type="spellEnd"/>
      <w:r w:rsidRPr="00B84C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zyrë</w:t>
      </w:r>
      <w:r w:rsidR="00FA095D"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095D">
        <w:rPr>
          <w:rFonts w:ascii="Times New Roman" w:hAnsi="Times New Roman"/>
          <w:b/>
          <w:bCs/>
          <w:sz w:val="24"/>
          <w:szCs w:val="24"/>
        </w:rPr>
        <w:t>e</w:t>
      </w:r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zhvillimit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ekonomik</w:t>
      </w:r>
      <w:proofErr w:type="spellEnd"/>
      <w:r w:rsidR="001422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688321F7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EB11A50" w14:textId="77777777" w:rsidR="00FA095D" w:rsidRDefault="00B84CAC" w:rsidP="00FA095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CAC">
        <w:rPr>
          <w:rFonts w:ascii="Times New Roman" w:hAnsi="Times New Roman"/>
          <w:b/>
          <w:bCs/>
          <w:sz w:val="24"/>
          <w:szCs w:val="24"/>
        </w:rPr>
        <w:t>Specia</w:t>
      </w:r>
      <w:r w:rsidR="00B015F9">
        <w:rPr>
          <w:rFonts w:ascii="Times New Roman" w:hAnsi="Times New Roman"/>
          <w:b/>
          <w:bCs/>
          <w:sz w:val="24"/>
          <w:szCs w:val="24"/>
        </w:rPr>
        <w:t xml:space="preserve">list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prokurimet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publike</w:t>
      </w:r>
      <w:proofErr w:type="spellEnd"/>
      <w:r w:rsidR="00FA095D" w:rsidRPr="00B84C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zyrën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zhvillimit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A095D">
        <w:rPr>
          <w:rFonts w:ascii="Times New Roman" w:hAnsi="Times New Roman"/>
          <w:b/>
          <w:bCs/>
          <w:sz w:val="24"/>
          <w:szCs w:val="24"/>
        </w:rPr>
        <w:t>ekonomik</w:t>
      </w:r>
      <w:proofErr w:type="spellEnd"/>
      <w:r w:rsidR="00FA09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35D3D1" w14:textId="0B4B25C4" w:rsidR="00B27E82" w:rsidRDefault="00B27E82" w:rsidP="00B27E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FE8E490" w14:textId="630BC773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3317E261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98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të njëjtën kohë!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88113C4" w14:textId="02604607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565BE5">
              <w:rPr>
                <w:rFonts w:ascii="Times New Roman" w:eastAsia="MS Mincho" w:hAnsi="Times New Roman"/>
                <w:b/>
                <w:sz w:val="24"/>
                <w:szCs w:val="24"/>
              </w:rPr>
              <w:t>13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3641AF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565BE5">
              <w:rPr>
                <w:rFonts w:ascii="Times New Roman" w:eastAsia="MS Mincho" w:hAnsi="Times New Roman"/>
                <w:b/>
                <w:sz w:val="24"/>
                <w:szCs w:val="24"/>
              </w:rPr>
              <w:t>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565BE5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254FC1CD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565BE5">
              <w:rPr>
                <w:rFonts w:ascii="Times New Roman" w:eastAsia="MS Mincho" w:hAnsi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3641AF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565BE5">
              <w:rPr>
                <w:rFonts w:ascii="Times New Roman" w:eastAsia="MS Mincho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565BE5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08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27CD066A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80"/>
        </w:tabs>
        <w:spacing w:line="276" w:lineRule="auto"/>
      </w:pPr>
      <w:r>
        <w:t>Specialisti per prokurimet publike ka për detyrë të administrojë në mënyrë të vazhdueshme proçesin e prokurimit si dhe te kryejë funksione të karakterit ndihmës, si mbajtjen e proçes-verbalit, sistemimin, inventarizimin dhe ruajtjen e dokumenteve.</w:t>
      </w:r>
    </w:p>
    <w:p w14:paraId="7F7BCC26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84"/>
        </w:tabs>
        <w:spacing w:line="276" w:lineRule="auto"/>
      </w:pPr>
      <w:bookmarkStart w:id="1" w:name="bookmark13"/>
      <w:bookmarkEnd w:id="1"/>
      <w:r>
        <w:t>Administrimin në mënyrë të vazhdueshme te proçesit te prokurimit.</w:t>
      </w:r>
    </w:p>
    <w:p w14:paraId="4B53BE1F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84"/>
        </w:tabs>
        <w:spacing w:line="276" w:lineRule="auto"/>
      </w:pPr>
      <w:bookmarkStart w:id="2" w:name="bookmark14"/>
      <w:bookmarkEnd w:id="2"/>
      <w:r>
        <w:t>Kryerjen e proçedurave te prokurimeve me vlera te vogla.</w:t>
      </w:r>
    </w:p>
    <w:p w14:paraId="66B18FE3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84"/>
        </w:tabs>
        <w:spacing w:line="276" w:lineRule="auto"/>
      </w:pPr>
      <w:bookmarkStart w:id="3" w:name="bookmark15"/>
      <w:bookmarkEnd w:id="3"/>
      <w:r>
        <w:t>Sigurimin e të dhënave të nevojshme nga strukturat përkatëse në institucion dhe përgatitjen e regjistrit të parashikimit të prokurimeve publike, të regjistrit të realizimit si dhe hartimin dhe dërgimin e njoftimeve për botim brenda afateve kohore.</w:t>
      </w:r>
    </w:p>
    <w:p w14:paraId="44E9F57F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84"/>
        </w:tabs>
        <w:spacing w:line="276" w:lineRule="auto"/>
      </w:pPr>
      <w:bookmarkStart w:id="4" w:name="bookmark16"/>
      <w:bookmarkEnd w:id="4"/>
      <w:r>
        <w:t>Përzgjedhjen e llojit të proçedurës së prokurimit.</w:t>
      </w:r>
    </w:p>
    <w:p w14:paraId="5E7BD08B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87"/>
        </w:tabs>
        <w:spacing w:line="276" w:lineRule="auto"/>
      </w:pPr>
      <w:bookmarkStart w:id="5" w:name="bookmark17"/>
      <w:bookmarkEnd w:id="5"/>
      <w:r>
        <w:t>Hartimin e urdhrave të prokurimit për mbledhjen e të gjitha materialeve të nevojshme që u bashkëlidhen dokumenteve të tenderit (si për shembull, hartat, skicat, planet, etj).</w:t>
      </w:r>
    </w:p>
    <w:p w14:paraId="4EFC424E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94"/>
        </w:tabs>
        <w:spacing w:line="276" w:lineRule="auto"/>
      </w:pPr>
      <w:bookmarkStart w:id="6" w:name="bookmark18"/>
      <w:bookmarkEnd w:id="6"/>
      <w:r>
        <w:t>Regjistrimin e urdhërave te prokurimeve dhe kontratave të lidhura ne siste'min SIFQ pranë Degës së Thesarit.</w:t>
      </w:r>
    </w:p>
    <w:p w14:paraId="3E88940F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91"/>
        </w:tabs>
        <w:spacing w:line="276" w:lineRule="auto"/>
      </w:pPr>
      <w:bookmarkStart w:id="7" w:name="bookmark19"/>
      <w:bookmarkEnd w:id="7"/>
      <w:r>
        <w:t>Siguron zhvillimin në mënyrë sa më transparcnte dhe jo diskriminuese të proçedurave për prokurimin e punëve/ shërbimeve / mallrave.</w:t>
      </w:r>
    </w:p>
    <w:p w14:paraId="18A4E89B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387"/>
        </w:tabs>
      </w:pPr>
      <w:bookmarkStart w:id="8" w:name="bookmark20"/>
      <w:bookmarkEnd w:id="8"/>
      <w:r>
        <w:lastRenderedPageBreak/>
        <w:t>Hartimin e dokumentave të tenderit dhe mbledhjen e të gjitha materialeve të nevojshme që u bashkëlidhen atyre, përfshirë hartimin e kritereve të veçanta për kualifikim dhe specifikimet teknike</w:t>
      </w:r>
    </w:p>
    <w:p w14:paraId="097C3E08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481"/>
        </w:tabs>
      </w:pPr>
      <w:bookmarkStart w:id="9" w:name="bookmark21"/>
      <w:bookmarkEnd w:id="9"/>
      <w:r>
        <w:t>Administrimin e të gjitha proçes-verbaleve për dokumentet e tenderit dhe çdo dokument tjetër që lidhet me proçedurat e përcaktimit të fituesit duke përfshirë edhe proçes-verbalet e mbledhjeve.</w:t>
      </w:r>
    </w:p>
    <w:p w14:paraId="7E646376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495"/>
        </w:tabs>
      </w:pPr>
      <w:bookmarkStart w:id="10" w:name="bookmark22"/>
      <w:bookmarkEnd w:id="10"/>
      <w:r>
        <w:t>Llogaritjen e çmimeve të shitjes së dokumenteve të tenderit që u jepen operatorëve ekonomikë me kërkesë të tyre.</w:t>
      </w:r>
    </w:p>
    <w:p w14:paraId="6C48ACA9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492"/>
        </w:tabs>
      </w:pPr>
      <w:bookmarkStart w:id="11" w:name="bookmark23"/>
      <w:bookmarkEnd w:id="11"/>
      <w:r>
        <w:t>Respek.ton standardet ligjore e teknike të miratuara në mënyrë që të rrisë efiçencën në realizimin e proçedurave të prokurimit të zhvilluara nga Bashkia Tropoje.</w:t>
      </w:r>
    </w:p>
    <w:p w14:paraId="3B14C6E8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470"/>
        </w:tabs>
      </w:pPr>
      <w:bookmarkStart w:id="12" w:name="bookmark24"/>
      <w:bookmarkEnd w:id="12"/>
      <w:r>
        <w:t>Venien ne dispozicion te një kopje të dokumenteve të tenderit për çdo operator ekonomik.</w:t>
      </w:r>
    </w:p>
    <w:p w14:paraId="271F8155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470"/>
        </w:tabs>
      </w:pPr>
      <w:bookmarkStart w:id="13" w:name="bookmark25"/>
      <w:bookmarkEnd w:id="13"/>
      <w:r>
        <w:t>Dhenien e sqarimeve për dokumentet e tenderit Komisionit te Vleresimit te Ofertave (KVO).</w:t>
      </w:r>
    </w:p>
    <w:p w14:paraId="7EB1658E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470"/>
        </w:tabs>
      </w:pPr>
      <w:bookmarkStart w:id="14" w:name="bookmark26"/>
      <w:bookmarkEnd w:id="14"/>
      <w:r>
        <w:t>Ne perfundim te proçedures se prokurimit harton kontraten që do të lidhet me shoqerinë fituese.</w:t>
      </w:r>
    </w:p>
    <w:p w14:paraId="7691E3F5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517"/>
        </w:tabs>
      </w:pPr>
      <w:bookmarkStart w:id="15" w:name="bookmark27"/>
      <w:bookmarkEnd w:id="15"/>
      <w:r>
        <w:t>Kryen në menyrë elektronike njoftimet, modifikimet, anullimet, arshivimet etj, te proçedurave të prokurimit.</w:t>
      </w:r>
    </w:p>
    <w:p w14:paraId="55E31315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495"/>
        </w:tabs>
      </w:pPr>
      <w:bookmarkStart w:id="16" w:name="bookmark28"/>
      <w:bookmarkEnd w:id="16"/>
      <w:r>
        <w:t>Kryen inventarizimin e dosjes të proçedurave të prokurimit dhe kujdeset për dorëzimin e tyre në arkiv në mënyrën dhe në afatin të parashikuar në ligj.</w:t>
      </w:r>
    </w:p>
    <w:p w14:paraId="035FE7D2" w14:textId="77777777" w:rsidR="00FA095D" w:rsidRDefault="00FA095D" w:rsidP="00FA095D">
      <w:pPr>
        <w:pStyle w:val="BodyText"/>
        <w:numPr>
          <w:ilvl w:val="0"/>
          <w:numId w:val="47"/>
        </w:numPr>
        <w:tabs>
          <w:tab w:val="left" w:pos="513"/>
        </w:tabs>
        <w:spacing w:after="280"/>
      </w:pPr>
      <w:bookmarkStart w:id="17" w:name="bookmark29"/>
      <w:bookmarkEnd w:id="17"/>
      <w:r>
        <w:t>Mban lidhje të vazhdueshme me Agjencinë e Prokurimit Publik dhe me institucione të specializuara për zgjidhjen me efikasitet të problemeve ligjore që lindin gjatë procedurave të prokurimit publik.</w:t>
      </w:r>
    </w:p>
    <w:p w14:paraId="6977B264" w14:textId="35FB6A0B" w:rsidR="00E93024" w:rsidRDefault="00E93024" w:rsidP="00E93024">
      <w:pPr>
        <w:tabs>
          <w:tab w:val="left" w:pos="4320"/>
        </w:tabs>
        <w:rPr>
          <w:rFonts w:ascii="Times New Roman" w:eastAsiaTheme="minorEastAsia" w:hAnsi="Times New Roman"/>
          <w:sz w:val="24"/>
          <w:szCs w:val="24"/>
        </w:rPr>
      </w:pPr>
    </w:p>
    <w:p w14:paraId="4A93ABD1" w14:textId="30039F6A" w:rsidR="00E93024" w:rsidRPr="00E93024" w:rsidRDefault="00E93024" w:rsidP="00E93024">
      <w:pPr>
        <w:tabs>
          <w:tab w:val="left" w:pos="4320"/>
        </w:tabs>
        <w:sectPr w:rsidR="00E93024" w:rsidRPr="00E93024">
          <w:pgSz w:w="11900" w:h="16840"/>
          <w:pgMar w:top="3134" w:right="1109" w:bottom="360" w:left="983" w:header="720" w:footer="720" w:gutter="0"/>
          <w:cols w:space="720"/>
          <w:noEndnote/>
        </w:sectPr>
      </w:pPr>
      <w:r>
        <w:tab/>
      </w: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65D967C6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5263C">
        <w:rPr>
          <w:rFonts w:ascii="Times New Roman" w:hAnsi="Times New Roman"/>
          <w:color w:val="000000"/>
          <w:sz w:val="24"/>
          <w:szCs w:val="24"/>
        </w:rPr>
        <w:t>minima</w:t>
      </w:r>
      <w:r w:rsidR="00FA095D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4B6E64">
        <w:rPr>
          <w:rFonts w:ascii="Times New Roman" w:hAnsi="Times New Roman"/>
          <w:color w:val="000000"/>
          <w:sz w:val="24"/>
          <w:szCs w:val="24"/>
        </w:rPr>
        <w:t>”</w:t>
      </w:r>
      <w:r w:rsidR="00565BE5">
        <w:rPr>
          <w:rFonts w:ascii="Times New Roman" w:hAnsi="Times New Roman"/>
          <w:color w:val="000000"/>
          <w:sz w:val="24"/>
          <w:szCs w:val="24"/>
        </w:rPr>
        <w:t>Bachelor</w:t>
      </w:r>
      <w:proofErr w:type="gramEnd"/>
      <w:r w:rsidR="00565BE5">
        <w:rPr>
          <w:rFonts w:ascii="Times New Roman" w:hAnsi="Times New Roman"/>
          <w:color w:val="000000"/>
          <w:sz w:val="24"/>
          <w:szCs w:val="24"/>
        </w:rPr>
        <w:t>”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ED0A72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C4275F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C4275F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2AC66557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4E1487E5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datës</w:t>
      </w:r>
      <w:r w:rsidR="00565BE5">
        <w:rPr>
          <w:rFonts w:ascii="Times New Roman" w:hAnsi="Times New Roman"/>
          <w:b/>
          <w:i/>
          <w:sz w:val="24"/>
          <w:szCs w:val="24"/>
        </w:rPr>
        <w:t>13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3641AF">
        <w:rPr>
          <w:rFonts w:ascii="Times New Roman" w:hAnsi="Times New Roman"/>
          <w:b/>
          <w:i/>
          <w:sz w:val="24"/>
          <w:szCs w:val="24"/>
        </w:rPr>
        <w:t>1</w:t>
      </w:r>
      <w:r w:rsidR="00565BE5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565BE5">
        <w:rPr>
          <w:rFonts w:ascii="Times New Roman" w:hAnsi="Times New Roman"/>
          <w:b/>
          <w:i/>
          <w:sz w:val="24"/>
          <w:szCs w:val="24"/>
        </w:rPr>
        <w:t>25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2B869521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65BE5">
        <w:rPr>
          <w:rFonts w:ascii="Times New Roman" w:hAnsi="Times New Roman"/>
          <w:sz w:val="24"/>
          <w:szCs w:val="24"/>
        </w:rPr>
        <w:t>14</w:t>
      </w:r>
      <w:r w:rsidR="00461260">
        <w:rPr>
          <w:rFonts w:ascii="Times New Roman" w:hAnsi="Times New Roman"/>
          <w:sz w:val="24"/>
          <w:szCs w:val="24"/>
        </w:rPr>
        <w:t>.</w:t>
      </w:r>
      <w:r w:rsidR="003641AF">
        <w:rPr>
          <w:rFonts w:ascii="Times New Roman" w:hAnsi="Times New Roman"/>
          <w:sz w:val="24"/>
          <w:szCs w:val="24"/>
        </w:rPr>
        <w:t>1</w:t>
      </w:r>
      <w:r w:rsidR="00565BE5">
        <w:rPr>
          <w:rFonts w:ascii="Times New Roman" w:hAnsi="Times New Roman"/>
          <w:sz w:val="24"/>
          <w:szCs w:val="24"/>
        </w:rPr>
        <w:t>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565BE5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CE3AF3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AA136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4149DE32" w14:textId="77777777" w:rsidR="00D321E1" w:rsidRPr="009B6E80" w:rsidRDefault="00D8537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85371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1.Të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koordinojë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projektet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përbashkëta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komunitetin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, OJF-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grupet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interesit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banorët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qytetit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Lushnjës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cilët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marrin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pjesë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donatorë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apo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këshillues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këto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projekte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49DDF3D0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2.Sensibilizon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lançon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nismat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tek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komuniteti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nëpërmjet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gjitha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informimit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mediave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botimevë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takimevë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spotevë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njoftimeve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62DF4F9F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3.Të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zgjerojë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drejtoritë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sektorët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tjerë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Tropoje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evidentimin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mundësive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bashkëpunimit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BFE7788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4.Të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sensibilizojë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opinionim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çështje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rëndësishme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mjedis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pastër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”,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mirëmbajtjen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investimeve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publike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”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5C3C5E0B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5.Të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sigurojë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vazhdueshme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terren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koordinim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menaxhim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domosdoshëm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12F0AA55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6.Të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emërtimin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kohë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vjetore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administratës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35C34CA8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7.Të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bëjë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përpjekje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krijimin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mentaliteteve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moderne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hapura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marrëdhëniet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institucionit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rrugëzgjidhjes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duhura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gjatë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zbatimit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kërkuara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0609157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8.Të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futjen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ideve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komunikimit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përfshirje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domosdoshmëri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33B474F2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9.Të ndërtojë një database me koordinata dhe detaje të agjencive donatore;</w:t>
      </w:r>
    </w:p>
    <w:p w14:paraId="2CF7468D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10.Të realizojë informimin e gjithë donatorëve të identifikuar, lidhur me projektet e përgatitura dhe i sensibilizon ata lidhur me rëndësinë e tyre;realizojë informimin dhe sensibilizimin e komunitetit lidhur projektet e pergatitura dhe i sensibilizon ato lidhur me rendesine e tyre</w:t>
      </w:r>
    </w:p>
    <w:p w14:paraId="3393EF3C" w14:textId="255A5283" w:rsidR="00D85371" w:rsidRPr="00D85371" w:rsidRDefault="00D85371" w:rsidP="00D85371">
      <w:pPr>
        <w:rPr>
          <w:rFonts w:ascii="Times New Roman" w:hAnsi="Times New Roman"/>
          <w:sz w:val="24"/>
          <w:szCs w:val="24"/>
        </w:rPr>
      </w:pPr>
    </w:p>
    <w:p w14:paraId="1AD91082" w14:textId="2A4B6EAD" w:rsidR="00D85371" w:rsidRDefault="00CE3AF3" w:rsidP="00D85371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cr/>
      </w:r>
    </w:p>
    <w:p w14:paraId="144C5F79" w14:textId="195BAF96" w:rsidR="002F7D48" w:rsidRDefault="002F7D48" w:rsidP="00D8537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F1C985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1EA4DBFF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565BE5">
        <w:rPr>
          <w:rFonts w:ascii="Times New Roman" w:hAnsi="Times New Roman"/>
          <w:color w:val="000000"/>
          <w:sz w:val="24"/>
          <w:szCs w:val="24"/>
        </w:rPr>
        <w:t>Bachelor”</w:t>
      </w:r>
      <w:r w:rsidR="002F7D48">
        <w:rPr>
          <w:rFonts w:ascii="Times New Roman" w:hAnsi="Times New Roman"/>
          <w:color w:val="000000"/>
          <w:sz w:val="24"/>
          <w:szCs w:val="24"/>
        </w:rPr>
        <w:t>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471B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3752B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3752B7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069F5574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18E6880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565BE5">
        <w:rPr>
          <w:rFonts w:ascii="Times New Roman" w:hAnsi="Times New Roman"/>
          <w:b/>
          <w:i/>
          <w:sz w:val="24"/>
          <w:szCs w:val="24"/>
        </w:rPr>
        <w:t>18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3641AF">
        <w:rPr>
          <w:rFonts w:ascii="Times New Roman" w:hAnsi="Times New Roman"/>
          <w:b/>
          <w:i/>
          <w:sz w:val="24"/>
          <w:szCs w:val="24"/>
        </w:rPr>
        <w:t>1</w:t>
      </w:r>
      <w:r w:rsidR="00565BE5">
        <w:rPr>
          <w:rFonts w:ascii="Times New Roman" w:hAnsi="Times New Roman"/>
          <w:b/>
          <w:i/>
          <w:sz w:val="24"/>
          <w:szCs w:val="24"/>
        </w:rPr>
        <w:t>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565BE5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540C1F04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65BE5">
        <w:rPr>
          <w:rFonts w:ascii="Times New Roman" w:hAnsi="Times New Roman"/>
          <w:sz w:val="24"/>
          <w:szCs w:val="24"/>
        </w:rPr>
        <w:t>28</w:t>
      </w:r>
      <w:r w:rsidR="009D4070">
        <w:rPr>
          <w:rFonts w:ascii="Times New Roman" w:hAnsi="Times New Roman"/>
          <w:sz w:val="24"/>
          <w:szCs w:val="24"/>
        </w:rPr>
        <w:t>.</w:t>
      </w:r>
      <w:r w:rsidR="00FB0C65">
        <w:rPr>
          <w:rFonts w:ascii="Times New Roman" w:hAnsi="Times New Roman"/>
          <w:sz w:val="24"/>
          <w:szCs w:val="24"/>
        </w:rPr>
        <w:t>1</w:t>
      </w:r>
      <w:r w:rsidR="00565BE5">
        <w:rPr>
          <w:rFonts w:ascii="Times New Roman" w:hAnsi="Times New Roman"/>
          <w:sz w:val="24"/>
          <w:szCs w:val="24"/>
        </w:rPr>
        <w:t>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565BE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496171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645B5568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139/2015 “Per </w:t>
      </w:r>
      <w:proofErr w:type="spellStart"/>
      <w:r w:rsidRPr="00CC18EB">
        <w:rPr>
          <w:rFonts w:ascii="Times New Roman" w:hAnsi="Times New Roman"/>
          <w:sz w:val="24"/>
          <w:szCs w:val="24"/>
        </w:rPr>
        <w:t>veteqeverisjen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vendore</w:t>
      </w:r>
      <w:proofErr w:type="spellEnd"/>
      <w:r w:rsidRPr="00CC18EB">
        <w:rPr>
          <w:rFonts w:ascii="Times New Roman" w:hAnsi="Times New Roman"/>
          <w:sz w:val="24"/>
          <w:szCs w:val="24"/>
        </w:rPr>
        <w:t>”;</w:t>
      </w:r>
    </w:p>
    <w:p w14:paraId="1EE8642E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Nr.8503,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8EB">
        <w:rPr>
          <w:rFonts w:ascii="Times New Roman" w:hAnsi="Times New Roman"/>
          <w:sz w:val="24"/>
          <w:szCs w:val="24"/>
        </w:rPr>
        <w:t>30.06.1999 ”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drejtën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informimit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dokumentat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zyrtare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5457F3AE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9643,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20.11.2006,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Prokurimin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Publik”,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ndryshuar</w:t>
      </w:r>
      <w:proofErr w:type="spellEnd"/>
      <w:r w:rsidRPr="00CC18EB">
        <w:rPr>
          <w:rFonts w:ascii="Times New Roman" w:hAnsi="Times New Roman"/>
          <w:sz w:val="24"/>
          <w:szCs w:val="24"/>
        </w:rPr>
        <w:t>;</w:t>
      </w:r>
    </w:p>
    <w:p w14:paraId="4D2C322D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152/2013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nëpunësin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ndryshuar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nr.178/2014,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18.12.2014;</w:t>
      </w:r>
    </w:p>
    <w:p w14:paraId="338DCBA1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131,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8EB">
        <w:rPr>
          <w:rFonts w:ascii="Times New Roman" w:hAnsi="Times New Roman"/>
          <w:sz w:val="24"/>
          <w:szCs w:val="24"/>
        </w:rPr>
        <w:t>09.08.2003,“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Mbi </w:t>
      </w:r>
      <w:proofErr w:type="spellStart"/>
      <w:r w:rsidRPr="00CC18EB">
        <w:rPr>
          <w:rFonts w:ascii="Times New Roman" w:hAnsi="Times New Roman"/>
          <w:sz w:val="24"/>
          <w:szCs w:val="24"/>
        </w:rPr>
        <w:t>rregullat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etikës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Administratën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”;</w:t>
      </w:r>
    </w:p>
    <w:p w14:paraId="61C9ACD0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Ligjit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Nr.8484, dt. 12.05.1999 “Kodi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procedurave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Republikës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Shqipërisë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10F792CA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38/2016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disa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shtesa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dhe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ndryshime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138/2015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garantimin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integritetit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personave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që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zgjidhen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emërohen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ose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ushtrojnë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funksione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04C70017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>  Nr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.9887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10.03.2008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mbrojtjen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dhënave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personale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615B2861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r.9367,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7.4.2005, 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parandalimin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konfliktit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interesave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ushtrimin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funksioneve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</w:t>
      </w:r>
    </w:p>
    <w:p w14:paraId="0128E9A8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r w:rsidRPr="00CC18EB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</w:p>
    <w:p w14:paraId="6B5F69C7" w14:textId="3B86306D" w:rsidR="00E936A6" w:rsidRPr="00CC18EB" w:rsidRDefault="00E936A6" w:rsidP="00CC18EB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A820A94" w14:textId="684225D3" w:rsidR="002F7D48" w:rsidRPr="00CC18EB" w:rsidRDefault="00CE3AF3" w:rsidP="00CC18EB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C18EB">
        <w:rPr>
          <w:rFonts w:ascii="Times New Roman" w:hAnsi="Times New Roman"/>
          <w:sz w:val="24"/>
          <w:szCs w:val="24"/>
        </w:rPr>
        <w:cr/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93BAAB2" w14:textId="151C236A" w:rsidR="002F7D48" w:rsidRPr="00D321E1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026EB332" w14:textId="73875958" w:rsidR="00D85371" w:rsidRDefault="00204C5A" w:rsidP="00D85371">
      <w:pPr>
        <w:rPr>
          <w:b/>
          <w:bCs/>
          <w:sz w:val="24"/>
          <w:szCs w:val="24"/>
        </w:rPr>
      </w:pPr>
      <w:r w:rsidRPr="00204C5A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204C5A">
        <w:rPr>
          <w:sz w:val="16"/>
          <w:szCs w:val="16"/>
        </w:rPr>
        <w:t xml:space="preserve"> </w:t>
      </w:r>
      <w:r w:rsidRPr="00204C5A">
        <w:rPr>
          <w:b/>
          <w:bCs/>
          <w:sz w:val="24"/>
          <w:szCs w:val="24"/>
        </w:rPr>
        <w:t>KRYETARI I BASHKISE</w:t>
      </w:r>
    </w:p>
    <w:p w14:paraId="2FB70890" w14:textId="3076981B" w:rsidR="00D85371" w:rsidRDefault="00D85371" w:rsidP="00D853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204C5A" w:rsidRPr="00204C5A">
        <w:rPr>
          <w:b/>
          <w:bCs/>
          <w:sz w:val="24"/>
          <w:szCs w:val="24"/>
        </w:rPr>
        <w:t xml:space="preserve"> REXHE BYBERI</w:t>
      </w:r>
    </w:p>
    <w:p w14:paraId="1EE291BE" w14:textId="700EB038" w:rsidR="00D85371" w:rsidRPr="00D85371" w:rsidRDefault="00D85371" w:rsidP="00D85371">
      <w:pPr>
        <w:rPr>
          <w:sz w:val="16"/>
          <w:szCs w:val="16"/>
        </w:rPr>
      </w:pPr>
    </w:p>
    <w:sectPr w:rsidR="00D85371" w:rsidRPr="00D85371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F4FA" w14:textId="77777777" w:rsidR="00660356" w:rsidRDefault="00660356" w:rsidP="00386E9F">
      <w:pPr>
        <w:spacing w:after="0" w:line="240" w:lineRule="auto"/>
      </w:pPr>
      <w:r>
        <w:separator/>
      </w:r>
    </w:p>
  </w:endnote>
  <w:endnote w:type="continuationSeparator" w:id="0">
    <w:p w14:paraId="0FE8ED65" w14:textId="77777777" w:rsidR="00660356" w:rsidRDefault="0066035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FB0C65">
      <w:rPr>
        <w:rFonts w:ascii="Times New Roman" w:hAnsi="Times New Roman"/>
        <w:noProof/>
        <w:sz w:val="20"/>
        <w:szCs w:val="20"/>
      </w:rPr>
      <w:t>11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605D" w14:textId="77777777" w:rsidR="00660356" w:rsidRDefault="00660356" w:rsidP="00386E9F">
      <w:pPr>
        <w:spacing w:after="0" w:line="240" w:lineRule="auto"/>
      </w:pPr>
      <w:r>
        <w:separator/>
      </w:r>
    </w:p>
  </w:footnote>
  <w:footnote w:type="continuationSeparator" w:id="0">
    <w:p w14:paraId="579913B7" w14:textId="77777777" w:rsidR="00660356" w:rsidRDefault="0066035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06718"/>
    <w:multiLevelType w:val="multilevel"/>
    <w:tmpl w:val="B926588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858484">
    <w:abstractNumId w:val="28"/>
  </w:num>
  <w:num w:numId="2" w16cid:durableId="556747973">
    <w:abstractNumId w:val="21"/>
  </w:num>
  <w:num w:numId="3" w16cid:durableId="94254509">
    <w:abstractNumId w:val="12"/>
  </w:num>
  <w:num w:numId="4" w16cid:durableId="1583446035">
    <w:abstractNumId w:val="26"/>
  </w:num>
  <w:num w:numId="5" w16cid:durableId="114955936">
    <w:abstractNumId w:val="5"/>
  </w:num>
  <w:num w:numId="6" w16cid:durableId="618728578">
    <w:abstractNumId w:val="20"/>
  </w:num>
  <w:num w:numId="7" w16cid:durableId="412095550">
    <w:abstractNumId w:val="22"/>
  </w:num>
  <w:num w:numId="8" w16cid:durableId="1648440405">
    <w:abstractNumId w:val="15"/>
  </w:num>
  <w:num w:numId="9" w16cid:durableId="859469281">
    <w:abstractNumId w:val="4"/>
  </w:num>
  <w:num w:numId="10" w16cid:durableId="2048606149">
    <w:abstractNumId w:val="10"/>
  </w:num>
  <w:num w:numId="11" w16cid:durableId="1731539269">
    <w:abstractNumId w:val="32"/>
  </w:num>
  <w:num w:numId="12" w16cid:durableId="747995035">
    <w:abstractNumId w:val="8"/>
  </w:num>
  <w:num w:numId="13" w16cid:durableId="1157695388">
    <w:abstractNumId w:val="20"/>
  </w:num>
  <w:num w:numId="14" w16cid:durableId="650328182">
    <w:abstractNumId w:val="29"/>
  </w:num>
  <w:num w:numId="15" w16cid:durableId="551577708">
    <w:abstractNumId w:val="28"/>
  </w:num>
  <w:num w:numId="16" w16cid:durableId="10024659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62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59977">
    <w:abstractNumId w:val="4"/>
  </w:num>
  <w:num w:numId="19" w16cid:durableId="520244266">
    <w:abstractNumId w:val="10"/>
  </w:num>
  <w:num w:numId="20" w16cid:durableId="92006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855488">
    <w:abstractNumId w:val="12"/>
  </w:num>
  <w:num w:numId="22" w16cid:durableId="1190070374">
    <w:abstractNumId w:val="27"/>
  </w:num>
  <w:num w:numId="23" w16cid:durableId="1077172237">
    <w:abstractNumId w:val="14"/>
  </w:num>
  <w:num w:numId="24" w16cid:durableId="283582010">
    <w:abstractNumId w:val="3"/>
  </w:num>
  <w:num w:numId="25" w16cid:durableId="1335645115">
    <w:abstractNumId w:val="11"/>
  </w:num>
  <w:num w:numId="26" w16cid:durableId="1458453258">
    <w:abstractNumId w:val="13"/>
  </w:num>
  <w:num w:numId="27" w16cid:durableId="1047678043">
    <w:abstractNumId w:val="18"/>
  </w:num>
  <w:num w:numId="28" w16cid:durableId="1013188503">
    <w:abstractNumId w:val="16"/>
  </w:num>
  <w:num w:numId="29" w16cid:durableId="99566988">
    <w:abstractNumId w:val="17"/>
  </w:num>
  <w:num w:numId="30" w16cid:durableId="2086761407">
    <w:abstractNumId w:val="31"/>
  </w:num>
  <w:num w:numId="31" w16cid:durableId="2127692780">
    <w:abstractNumId w:val="30"/>
  </w:num>
  <w:num w:numId="32" w16cid:durableId="326908769">
    <w:abstractNumId w:val="24"/>
  </w:num>
  <w:num w:numId="33" w16cid:durableId="645203114">
    <w:abstractNumId w:val="0"/>
  </w:num>
  <w:num w:numId="34" w16cid:durableId="1011176940">
    <w:abstractNumId w:val="1"/>
  </w:num>
  <w:num w:numId="35" w16cid:durableId="1636912610">
    <w:abstractNumId w:val="25"/>
  </w:num>
  <w:num w:numId="36" w16cid:durableId="1837190725">
    <w:abstractNumId w:val="23"/>
  </w:num>
  <w:num w:numId="37" w16cid:durableId="55131950">
    <w:abstractNumId w:val="9"/>
  </w:num>
  <w:num w:numId="38" w16cid:durableId="4202959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16232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4931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88962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0293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60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15025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834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098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24906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15050"/>
    <w:rsid w:val="00020BE3"/>
    <w:rsid w:val="000219B7"/>
    <w:rsid w:val="000232B3"/>
    <w:rsid w:val="00033B81"/>
    <w:rsid w:val="00034F24"/>
    <w:rsid w:val="00037191"/>
    <w:rsid w:val="000445FA"/>
    <w:rsid w:val="00047286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45C5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1F5B"/>
    <w:rsid w:val="001249D6"/>
    <w:rsid w:val="001310F8"/>
    <w:rsid w:val="001321A3"/>
    <w:rsid w:val="00133AD2"/>
    <w:rsid w:val="00136576"/>
    <w:rsid w:val="00137C0F"/>
    <w:rsid w:val="0014221D"/>
    <w:rsid w:val="001435C2"/>
    <w:rsid w:val="001470A4"/>
    <w:rsid w:val="001511F8"/>
    <w:rsid w:val="001549AF"/>
    <w:rsid w:val="00157269"/>
    <w:rsid w:val="00166769"/>
    <w:rsid w:val="00170B57"/>
    <w:rsid w:val="00170C86"/>
    <w:rsid w:val="0017737D"/>
    <w:rsid w:val="001815E8"/>
    <w:rsid w:val="00187A03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1AE3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54710"/>
    <w:rsid w:val="002602B5"/>
    <w:rsid w:val="00263494"/>
    <w:rsid w:val="00264069"/>
    <w:rsid w:val="002647A8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4081F"/>
    <w:rsid w:val="0034285E"/>
    <w:rsid w:val="003524E9"/>
    <w:rsid w:val="0035294A"/>
    <w:rsid w:val="00354B6B"/>
    <w:rsid w:val="003556CF"/>
    <w:rsid w:val="0035656C"/>
    <w:rsid w:val="003641AF"/>
    <w:rsid w:val="00366D0E"/>
    <w:rsid w:val="003739FA"/>
    <w:rsid w:val="003752B7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717AE"/>
    <w:rsid w:val="00471B4B"/>
    <w:rsid w:val="00471BE8"/>
    <w:rsid w:val="00471D01"/>
    <w:rsid w:val="00472946"/>
    <w:rsid w:val="00473B26"/>
    <w:rsid w:val="00474066"/>
    <w:rsid w:val="004B6E64"/>
    <w:rsid w:val="004C67B3"/>
    <w:rsid w:val="004D1621"/>
    <w:rsid w:val="004D432B"/>
    <w:rsid w:val="004F2F33"/>
    <w:rsid w:val="004F5E42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5BE5"/>
    <w:rsid w:val="005660BE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22F5"/>
    <w:rsid w:val="005C772F"/>
    <w:rsid w:val="005D7815"/>
    <w:rsid w:val="005E0312"/>
    <w:rsid w:val="005E2CB9"/>
    <w:rsid w:val="005E3544"/>
    <w:rsid w:val="005F5855"/>
    <w:rsid w:val="005F7D6B"/>
    <w:rsid w:val="00600FE9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0356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7FD"/>
    <w:rsid w:val="007233BB"/>
    <w:rsid w:val="0072340C"/>
    <w:rsid w:val="00723D7F"/>
    <w:rsid w:val="00724C80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2178F"/>
    <w:rsid w:val="008352B4"/>
    <w:rsid w:val="008425DF"/>
    <w:rsid w:val="00844A15"/>
    <w:rsid w:val="008572DE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0E07"/>
    <w:rsid w:val="008D1ECB"/>
    <w:rsid w:val="008F13E9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CE5"/>
    <w:rsid w:val="0099292D"/>
    <w:rsid w:val="009A01A5"/>
    <w:rsid w:val="009A1841"/>
    <w:rsid w:val="009A2657"/>
    <w:rsid w:val="009A3B7C"/>
    <w:rsid w:val="009A56E7"/>
    <w:rsid w:val="009A59DD"/>
    <w:rsid w:val="009A63DD"/>
    <w:rsid w:val="009A72B7"/>
    <w:rsid w:val="009B5960"/>
    <w:rsid w:val="009B6E80"/>
    <w:rsid w:val="009C0327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15F9"/>
    <w:rsid w:val="00B033F4"/>
    <w:rsid w:val="00B160A0"/>
    <w:rsid w:val="00B26F41"/>
    <w:rsid w:val="00B27E82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4275F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5286"/>
    <w:rsid w:val="00CA3BB6"/>
    <w:rsid w:val="00CA581E"/>
    <w:rsid w:val="00CB2226"/>
    <w:rsid w:val="00CB48EB"/>
    <w:rsid w:val="00CC0751"/>
    <w:rsid w:val="00CC18EB"/>
    <w:rsid w:val="00CC357C"/>
    <w:rsid w:val="00CD008E"/>
    <w:rsid w:val="00CD2351"/>
    <w:rsid w:val="00CE1534"/>
    <w:rsid w:val="00CE292E"/>
    <w:rsid w:val="00CE3AF3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21E1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85371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3024"/>
    <w:rsid w:val="00E936A6"/>
    <w:rsid w:val="00EA39BF"/>
    <w:rsid w:val="00EB3685"/>
    <w:rsid w:val="00EB78CB"/>
    <w:rsid w:val="00EC0B57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095D"/>
    <w:rsid w:val="00FA2925"/>
    <w:rsid w:val="00FA5B8A"/>
    <w:rsid w:val="00FA7201"/>
    <w:rsid w:val="00FB0C65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85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D8537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8537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FA095D"/>
    <w:rPr>
      <w:rFonts w:ascii="Times New Roman" w:eastAsia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FA095D"/>
    <w:pPr>
      <w:widowControl w:val="0"/>
      <w:spacing w:after="0" w:line="283" w:lineRule="auto"/>
    </w:pPr>
    <w:rPr>
      <w:rFonts w:ascii="Times New Roman" w:eastAsia="Times New Roman" w:hAnsi="Times New Roman"/>
      <w:lang w:val="sq-AL" w:eastAsia="sq-AL"/>
    </w:rPr>
  </w:style>
  <w:style w:type="character" w:customStyle="1" w:styleId="BodyTextChar1">
    <w:name w:val="Body Text Char1"/>
    <w:basedOn w:val="DefaultParagraphFont"/>
    <w:uiPriority w:val="99"/>
    <w:semiHidden/>
    <w:rsid w:val="00FA095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2025-10-06T08:30:00Z</dcterms:created>
  <dcterms:modified xsi:type="dcterms:W3CDTF">2025-10-06T08:30:00Z</dcterms:modified>
</cp:coreProperties>
</file>