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C4" w:rsidRDefault="00AF63BC">
      <w:pPr>
        <w:autoSpaceDE w:val="0"/>
        <w:autoSpaceDN w:val="0"/>
        <w:adjustRightInd w:val="0"/>
        <w:spacing w:line="240" w:lineRule="auto"/>
        <w:jc w:val="center"/>
      </w:pPr>
      <w:r>
        <w:rPr>
          <w:rFonts w:eastAsia="Calibri"/>
          <w:noProof/>
          <w:sz w:val="24"/>
          <w:szCs w:val="24"/>
          <w:lang w:eastAsia="en-US"/>
        </w:rPr>
        <w:drawing>
          <wp:inline distT="0" distB="0" distL="0" distR="0">
            <wp:extent cx="5600700" cy="981074"/>
            <wp:effectExtent l="0" t="0" r="0" b="0"/>
            <wp:docPr id="1026" name="Image1" descr="Untitled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600700" cy="9810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C4" w:rsidRDefault="0048228F">
      <w:r>
        <w:rPr>
          <w:rFonts w:eastAsia="Calibri" w:cs="Calibri"/>
          <w:b/>
          <w:bCs/>
          <w:color w:val="C00000"/>
          <w:sz w:val="32"/>
          <w:szCs w:val="32"/>
          <w:lang w:eastAsia="en-US"/>
        </w:rPr>
        <w:t xml:space="preserve">   </w:t>
      </w:r>
      <w:bookmarkStart w:id="0" w:name="_GoBack"/>
      <w:bookmarkEnd w:id="0"/>
      <w:r w:rsidR="00AF63BC">
        <w:rPr>
          <w:rFonts w:eastAsia="Calibri" w:cs="Calibri"/>
          <w:b/>
          <w:bCs/>
          <w:color w:val="C00000"/>
          <w:sz w:val="32"/>
          <w:szCs w:val="32"/>
          <w:lang w:eastAsia="en-US"/>
        </w:rPr>
        <w:t xml:space="preserve">                </w:t>
      </w:r>
    </w:p>
    <w:p w:rsidR="005944C4" w:rsidRDefault="0048228F">
      <w:pPr>
        <w:jc w:val="right"/>
      </w:pPr>
      <w:r>
        <w:rPr>
          <w:rFonts w:eastAsia="Calibri" w:cs="Calibri"/>
          <w:b/>
          <w:bCs/>
          <w:color w:val="36363D"/>
          <w:sz w:val="24"/>
          <w:szCs w:val="24"/>
          <w:lang w:eastAsia="en-US"/>
        </w:rPr>
        <w:t>Dt. 29.09.2025</w:t>
      </w:r>
    </w:p>
    <w:p w:rsidR="005944C4" w:rsidRDefault="00AF63BC">
      <w:pPr>
        <w:pBdr>
          <w:bottom w:val="single" w:sz="12" w:space="4" w:color="C00000"/>
        </w:pBdr>
        <w:shd w:val="clear" w:color="FFFFFF" w:fill="C00000"/>
        <w:jc w:val="center"/>
      </w:pPr>
      <w:r>
        <w:rPr>
          <w:rFonts w:ascii="Times New Roman" w:eastAsia="MS Mincho" w:hAnsi="Times New Roman"/>
          <w:b/>
          <w:bCs/>
          <w:color w:val="FFFF00"/>
          <w:sz w:val="24"/>
          <w:szCs w:val="24"/>
          <w:lang w:eastAsia="en-US"/>
        </w:rPr>
        <w:t>SHPALLJE PËR NËPUNËS CIVIL</w:t>
      </w:r>
    </w:p>
    <w:p w:rsidR="005944C4" w:rsidRDefault="00AF63BC">
      <w:pPr>
        <w:pBdr>
          <w:bottom w:val="single" w:sz="12" w:space="4" w:color="C00000"/>
        </w:pBdr>
        <w:shd w:val="clear" w:color="FFFFFF" w:fill="C00000"/>
        <w:jc w:val="center"/>
      </w:pPr>
      <w:r>
        <w:rPr>
          <w:rFonts w:ascii="Times New Roman" w:eastAsia="MS Mincho" w:hAnsi="Times New Roman"/>
          <w:b/>
          <w:bCs/>
          <w:color w:val="FFFF00"/>
          <w:sz w:val="24"/>
          <w:szCs w:val="24"/>
          <w:lang w:eastAsia="en-US"/>
        </w:rPr>
        <w:t>LËVIZJE PARALELE DHE PRANIM NË SHËRBIMIN CIVIL</w:t>
      </w:r>
    </w:p>
    <w:p w:rsidR="005944C4" w:rsidRDefault="00AF63BC"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Specialist Jurist, Sektori i Prokurimeve dhe Kontratave,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Lloji 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i diplomës “Shkenca Juridike/ Juridik“niveli minimal i diplomës “Bachelor”ose “Master Profesional”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Në zbatim të nenit 22, të nenit 25 dhe të nenit 26, të Ligjit Nr. 152/2013, “Për nëpunësin civil”, i ndryshuar, si dhe të Kreut II, III, IV dhe VII, të </w:t>
      </w:r>
      <w:r>
        <w:rPr>
          <w:rFonts w:ascii="Times New Roman" w:hAnsi="Times New Roman"/>
          <w:sz w:val="24"/>
          <w:szCs w:val="24"/>
          <w:lang w:eastAsia="en-US"/>
        </w:rPr>
        <w:t xml:space="preserve">Vendimit Nr. 243, datë 18/03/2015, të Këshillit të Ministrave, Bashkia Cerrik ,shpall procedurat e lëvizjes paralele dhe pranimit në shërbimin civil, për kategorinë ekzekutive, për pozicionin:  </w:t>
      </w:r>
    </w:p>
    <w:p w:rsidR="005944C4" w:rsidRDefault="00AF63BC">
      <w:pPr>
        <w:ind w:left="72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 (një) Specialist Jurist, Sektori i Prokurimeve dhe Kontrata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ve,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Lloji  i diplomës “Shkenca Juridike/ Juridik“ niveli minimal i diplomës “Bachelor”ose “Master Profesional”, kategoria e pagës IV-4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/>
          <w:sz w:val="24"/>
          <w:szCs w:val="24"/>
          <w:lang w:eastAsia="en-US"/>
        </w:rPr>
        <w:t>Pozicioni më sipër, u ofrohet fillimisht nëpunësve civilë të së njëjtës kategori për procedurën e lëvizjes paralele.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/>
          <w:sz w:val="24"/>
          <w:szCs w:val="24"/>
          <w:lang w:eastAsia="en-US"/>
        </w:rPr>
        <w:t>Vetë</w:t>
      </w:r>
      <w:r>
        <w:rPr>
          <w:rFonts w:ascii="Times New Roman" w:hAnsi="Times New Roman"/>
          <w:sz w:val="24"/>
          <w:szCs w:val="24"/>
          <w:lang w:eastAsia="en-US"/>
        </w:rPr>
        <w:t>m në rast se ky pozicion, në përfundim të procedurës së lëvizjes paralele, rezulton vakant, atëherë është i vlefshëm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për konkurimin nëpërmjet procedurës së pranimit nga jashtë shërbimit civil.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Për të gjitha  procedurat (lëvizje paralele dhe pranim nga jas</w:t>
      </w:r>
      <w:r>
        <w:rPr>
          <w:rFonts w:ascii="Times New Roman" w:hAnsi="Times New Roman"/>
          <w:sz w:val="24"/>
          <w:szCs w:val="24"/>
          <w:lang w:eastAsia="en-US"/>
        </w:rPr>
        <w:t>htë  shërbimit civil) aplikohet në të njëjtën kohë.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Afati për dorëzimin e dokumentave për LEVIZJE PARALELE: </w:t>
      </w:r>
      <w:r w:rsidR="0048228F">
        <w:rPr>
          <w:rFonts w:ascii="Times New Roman" w:hAnsi="Times New Roman"/>
          <w:b/>
          <w:bCs/>
          <w:sz w:val="24"/>
          <w:szCs w:val="24"/>
          <w:lang w:eastAsia="en-US"/>
        </w:rPr>
        <w:t>09.10.2025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Afati për dorëzimin e dokumentave për PRANIM NGA JASHTË : </w:t>
      </w:r>
      <w:r w:rsidR="0048228F">
        <w:rPr>
          <w:rFonts w:ascii="Times New Roman" w:hAnsi="Times New Roman"/>
          <w:b/>
          <w:bCs/>
          <w:sz w:val="24"/>
          <w:szCs w:val="24"/>
          <w:lang w:eastAsia="en-US"/>
        </w:rPr>
        <w:t>14.10.2025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</w:p>
    <w:p w:rsidR="005944C4" w:rsidRDefault="00AF63BC">
      <w:pPr>
        <w:tabs>
          <w:tab w:val="left" w:pos="180"/>
        </w:tabs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Përshkrimi përgjithësues i punës për pozicionin si më sipër është:</w:t>
      </w:r>
    </w:p>
    <w:p w:rsidR="005944C4" w:rsidRDefault="005944C4">
      <w:pPr>
        <w:tabs>
          <w:tab w:val="left" w:pos="180"/>
        </w:tabs>
        <w:spacing w:line="240" w:lineRule="auto"/>
        <w:jc w:val="both"/>
      </w:pPr>
    </w:p>
    <w:p w:rsidR="005944C4" w:rsidRDefault="00AF63BC">
      <w:pPr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Garamond" w:hAnsi="Times New Roman"/>
          <w:spacing w:val="-4"/>
          <w:sz w:val="24"/>
          <w:szCs w:val="24"/>
          <w:lang w:eastAsia="en-US"/>
        </w:rPr>
        <w:lastRenderedPageBreak/>
        <w:t>1- Z</w:t>
      </w:r>
      <w:r>
        <w:rPr>
          <w:rFonts w:eastAsia="Palatino Linotype"/>
          <w:sz w:val="24"/>
          <w:szCs w:val="24"/>
          <w:lang w:val="sq-AL" w:eastAsia="sq-AL"/>
        </w:rPr>
        <w:t>gjidh kërkesa</w:t>
      </w:r>
      <w:r>
        <w:rPr>
          <w:rFonts w:eastAsia="Palatino Linotype"/>
          <w:sz w:val="24"/>
          <w:szCs w:val="24"/>
          <w:lang w:eastAsia="sq-AL"/>
        </w:rPr>
        <w:t xml:space="preserve">t </w:t>
      </w:r>
      <w:r>
        <w:rPr>
          <w:rFonts w:eastAsia="Palatino Linotype"/>
          <w:sz w:val="24"/>
          <w:szCs w:val="24"/>
          <w:lang w:val="sq-AL" w:eastAsia="sq-AL"/>
        </w:rPr>
        <w:t>dhe probleme</w:t>
      </w:r>
      <w:r>
        <w:rPr>
          <w:rFonts w:eastAsia="Palatino Linotype"/>
          <w:sz w:val="24"/>
          <w:szCs w:val="24"/>
          <w:lang w:eastAsia="sq-AL"/>
        </w:rPr>
        <w:t>t</w:t>
      </w:r>
      <w:r>
        <w:rPr>
          <w:rFonts w:eastAsia="Palatino Linotype"/>
          <w:sz w:val="24"/>
          <w:szCs w:val="24"/>
          <w:lang w:val="sq-AL" w:eastAsia="sq-AL"/>
        </w:rPr>
        <w:t xml:space="preserve"> që parashtrohen në rrugë administrative, për çështje me natyrë ligjore dhe juridike;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2- Siguron përputhshmërinë e veprimtarisë së bashkisë me kërkesat ligjore në fuqi;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3- Përgjigjet për dhënien e asistencës dhe opinionit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 ligjor në funksion të veprimtarisë së bashkisë;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4- Angazhohet në përgatitjen e draft-akteve të ndryshme normative, rregullatorë, të marrëveshjeve apo kontratave, në ndjekjen e proçeseve kontraktuale e administrative. Angazhohet në ndërmarrjen dhe bashkër</w:t>
      </w:r>
      <w:r>
        <w:rPr>
          <w:rFonts w:eastAsia="Times New Roman"/>
          <w:color w:val="000000"/>
          <w:sz w:val="24"/>
          <w:szCs w:val="24"/>
          <w:lang w:val="sq-AL" w:eastAsia="sq-AL"/>
        </w:rPr>
        <w:t>endimin e veprimeve gjyqësore si dhe të gjitha mjeteve ligjore në dispozicion për mbrojtjen e të drejtave dhe interesave të bashkisë, duke bashkëpunuar me çdo njësi tjetër organizative.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5- Monitoron pjesëmarrjen në të gjitha konfliktet gjyqësore në të cila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t Bashkia Cërrik është palë ndërgjyqëse, duke organizuar punën në mënyrë produktive në rastet kur institucioni </w:t>
      </w:r>
      <w:r>
        <w:rPr>
          <w:rFonts w:eastAsia="Times New Roman"/>
          <w:color w:val="000000"/>
          <w:sz w:val="24"/>
          <w:szCs w:val="24"/>
          <w:lang w:eastAsia="sq-AL"/>
        </w:rPr>
        <w:t>është pa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ditës në Gjykatë për të gjitha shkallët e gjykimit;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6- </w:t>
      </w:r>
      <w:r>
        <w:rPr>
          <w:rFonts w:eastAsia="Times New Roman"/>
          <w:color w:val="000000"/>
          <w:sz w:val="24"/>
          <w:szCs w:val="24"/>
          <w:lang w:eastAsia="sq-AL"/>
        </w:rPr>
        <w:t>R</w:t>
      </w:r>
      <w:r>
        <w:rPr>
          <w:rFonts w:eastAsia="Times New Roman"/>
          <w:color w:val="000000"/>
          <w:sz w:val="24"/>
          <w:szCs w:val="24"/>
          <w:lang w:val="sq-AL" w:eastAsia="sq-AL"/>
        </w:rPr>
        <w:t>ealiz</w:t>
      </w:r>
      <w:r>
        <w:rPr>
          <w:rFonts w:eastAsia="Times New Roman"/>
          <w:color w:val="000000"/>
          <w:sz w:val="24"/>
          <w:szCs w:val="24"/>
          <w:lang w:eastAsia="sq-AL"/>
        </w:rPr>
        <w:t>on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 përgatitj</w:t>
      </w:r>
      <w:r>
        <w:rPr>
          <w:rFonts w:eastAsia="Times New Roman"/>
          <w:color w:val="000000"/>
          <w:sz w:val="24"/>
          <w:szCs w:val="24"/>
          <w:lang w:eastAsia="sq-AL"/>
        </w:rPr>
        <w:t xml:space="preserve">en e 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prapësimeve në gjykatën e shkallës së parë, konkluzioneve 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përfundimtare, kërkesave të ndërmjetme, kërkesave ankimore në Gjykatën e Apelit dhe rekurseve në Gjykatën e Lartë, në mbrojtje të interesave të bashkisë Cërrik;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7- </w:t>
      </w:r>
      <w:r>
        <w:rPr>
          <w:rFonts w:eastAsia="Times New Roman"/>
          <w:color w:val="000000"/>
          <w:sz w:val="24"/>
          <w:szCs w:val="24"/>
          <w:lang w:eastAsia="sq-AL"/>
        </w:rPr>
        <w:t>Nd</w:t>
      </w:r>
      <w:r>
        <w:rPr>
          <w:rFonts w:eastAsia="Times New Roman"/>
          <w:color w:val="000000"/>
          <w:sz w:val="24"/>
          <w:szCs w:val="24"/>
          <w:lang w:val="sq-AL" w:eastAsia="sq-AL"/>
        </w:rPr>
        <w:t>jek veprime</w:t>
      </w:r>
      <w:r>
        <w:rPr>
          <w:rFonts w:eastAsia="Times New Roman"/>
          <w:color w:val="000000"/>
          <w:sz w:val="24"/>
          <w:szCs w:val="24"/>
          <w:lang w:eastAsia="sq-AL"/>
        </w:rPr>
        <w:t>t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 me zyrën përmbarimore për zbatimin e vendimeve gjyqësore që kanë marrë formë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 të prerë, përgatitjen e kërkesave përkatëse në rastet e kundërshtimit të veprimeve përmbarimore duke bashkëpunuar me strukturat e bashkisë, si dhe hartimin e kërkesave për pezullim të ekzekutimit të vendimeve të formës së prerë në Gjykatën e Lartë duke re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spektuar kërkesat, proçedurat dhe afatet ligjore. </w:t>
      </w:r>
      <w:r>
        <w:rPr>
          <w:rFonts w:eastAsia="Times New Roman"/>
          <w:color w:val="000000"/>
          <w:sz w:val="24"/>
          <w:szCs w:val="24"/>
          <w:lang w:eastAsia="sq-AL"/>
        </w:rPr>
        <w:t>P</w:t>
      </w:r>
      <w:r>
        <w:rPr>
          <w:rFonts w:eastAsia="Times New Roman"/>
          <w:color w:val="000000"/>
          <w:sz w:val="24"/>
          <w:szCs w:val="24"/>
          <w:lang w:val="sq-AL" w:eastAsia="sq-AL"/>
        </w:rPr>
        <w:t>ërgatit njoftime</w:t>
      </w:r>
      <w:r>
        <w:rPr>
          <w:rFonts w:eastAsia="Times New Roman"/>
          <w:color w:val="000000"/>
          <w:sz w:val="24"/>
          <w:szCs w:val="24"/>
          <w:lang w:eastAsia="sq-AL"/>
        </w:rPr>
        <w:t xml:space="preserve">t 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për marrjen dijeni të subjekteve ankimues, në lidhje me vendimet e kryetarit, strukturave akti i të cilave është ankimuar;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8- Ndjek shqyrtimin e të gjitha proçedurave për ankimet adminis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trative të subjekteve private, që kundërshtojnë veprimet e bashkisë dhe të gjitha strukturave të varësisë sipas kërkesave të eprorit, duke iu përmbajtur objektivave dhe afateve të përcaktuara;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9- Monitoron proçesin e shqyrtimit të të gjitha ankimimeve të </w:t>
      </w:r>
      <w:r>
        <w:rPr>
          <w:rFonts w:eastAsia="Times New Roman"/>
          <w:color w:val="000000"/>
          <w:sz w:val="24"/>
          <w:szCs w:val="24"/>
          <w:lang w:val="sq-AL" w:eastAsia="sq-AL"/>
        </w:rPr>
        <w:t>bëra pranë Kryetarit të Bashkisë</w:t>
      </w:r>
      <w:r>
        <w:rPr>
          <w:rFonts w:eastAsia="Times New Roman"/>
          <w:color w:val="000000"/>
          <w:sz w:val="24"/>
          <w:szCs w:val="24"/>
          <w:lang w:eastAsia="sq-AL"/>
        </w:rPr>
        <w:t>. S</w:t>
      </w:r>
      <w:r>
        <w:rPr>
          <w:rFonts w:eastAsia="Times New Roman"/>
          <w:color w:val="000000"/>
          <w:sz w:val="24"/>
          <w:szCs w:val="24"/>
          <w:lang w:val="sq-AL" w:eastAsia="sq-AL"/>
        </w:rPr>
        <w:t>hqyrtimin e ankimimeve administrative të subjekteve për veprimet e administrates tatimore të bashkisë;</w:t>
      </w:r>
      <w:r>
        <w:rPr>
          <w:rFonts w:eastAsia="Times New Roman"/>
          <w:color w:val="000000"/>
          <w:sz w:val="24"/>
          <w:szCs w:val="24"/>
          <w:lang w:eastAsia="sq-AL"/>
        </w:rPr>
        <w:t xml:space="preserve"> 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Shqyrtimin e ankimimeve administrative për gjobat nga strukturat e bashkisë sipas funksioneve (policia bashkiake, IMT </w:t>
      </w:r>
      <w:r>
        <w:rPr>
          <w:rFonts w:eastAsia="Times New Roman"/>
          <w:color w:val="000000"/>
          <w:sz w:val="24"/>
          <w:szCs w:val="24"/>
          <w:lang w:val="sq-AL" w:eastAsia="sq-AL"/>
        </w:rPr>
        <w:t>etj)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10- Menaxhon proçesin e hartimit të memove dhe mbajtjes së proçesverbaleve në lidhje me të gjitha ankimimet e marra në shqyrtim nga sektori përkatës;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11- Përgatit vendimet e Kryetarit të Bashkisë, për ankimimet administrative të paraqitura;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lastRenderedPageBreak/>
        <w:t>12- Dërg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on vendimet e Kryetarit të Bashkisë, për ankimimin administrativ të paraqitur në drejtorinë që ka nxjerrë aktin administrativ për të bërë shpalljen e vendimit;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13- Kontrollon proçesin e arkivimit të ankimimeve së bashku me praktikën përkatëse.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14- Zbaton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 me përpikmëri proçedurën për prokurimet e vogla, prokurimet e mallrave dhe shërbimeve dhe hartimin e regjistrit vjetor të parashikimeve;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15- Monitoron realizimin brenda afatit të përcaktuar ligjërisht të gjitha prokurimet për punë, shërbime dhe mallra, m</w:t>
      </w:r>
      <w:r>
        <w:rPr>
          <w:rFonts w:eastAsia="Times New Roman"/>
          <w:color w:val="000000"/>
          <w:sz w:val="24"/>
          <w:szCs w:val="24"/>
          <w:lang w:val="sq-AL" w:eastAsia="sq-AL"/>
        </w:rPr>
        <w:t>e qëllim bërjen të mundur realizimin e objektivave parësore të Bashkisë Cërrik.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16- Garanton efiçencën dhe efikasitetin në proçedurat e prokurimit për punët publike, shërbime dhe mallra, të realizuara nga Bashkia Cërrik duke siguruar një përdorim sa më të </w:t>
      </w:r>
      <w:r>
        <w:rPr>
          <w:rFonts w:eastAsia="Times New Roman"/>
          <w:color w:val="000000"/>
          <w:sz w:val="24"/>
          <w:szCs w:val="24"/>
          <w:lang w:val="sq-AL" w:eastAsia="sq-AL"/>
        </w:rPr>
        <w:t>mirë të bashkive publike, konform LPP.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17- Mbikqyr punën e sektorit për bashkërendimin e punës me sektorët/drejtoritë e tjera të bashkisë, për mbledhjen dhe përpunimin e të dhënave për inicimin e proçedurave të prokurimit publik;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18- Bashkërendon punën pë</w:t>
      </w:r>
      <w:r>
        <w:rPr>
          <w:rFonts w:eastAsia="Times New Roman"/>
          <w:color w:val="000000"/>
          <w:sz w:val="24"/>
          <w:szCs w:val="24"/>
          <w:lang w:val="sq-AL" w:eastAsia="sq-AL"/>
        </w:rPr>
        <w:t xml:space="preserve">r testimin e tregut për marrjen e çmimeve mbi të cilat do të hartohen dhe rishikohen preventivat; </w:t>
      </w:r>
    </w:p>
    <w:p w:rsidR="005944C4" w:rsidRDefault="00AF63BC">
      <w:pPr>
        <w:autoSpaceDE w:val="0"/>
        <w:autoSpaceDN w:val="0"/>
        <w:adjustRightInd w:val="0"/>
        <w:jc w:val="both"/>
        <w:rPr>
          <w:rFonts w:ascii="Times New Roman" w:eastAsia="Garamond" w:hAnsi="Times New Roman"/>
          <w:spacing w:val="-4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val="sq-AL" w:eastAsia="sq-AL"/>
        </w:rPr>
        <w:t>19- Ndjek proçedurat e prokurimit sipas përcaktimeve në LPP dhe ne VKM përkatëse nga testimi i tregut, hartimin e kontratës dhe arkivimin e proçedurës;</w:t>
      </w:r>
    </w:p>
    <w:p w:rsidR="005944C4" w:rsidRDefault="00AF63BC">
      <w:pPr>
        <w:autoSpaceDE w:val="0"/>
        <w:autoSpaceDN w:val="0"/>
        <w:adjustRightInd w:val="0"/>
        <w:jc w:val="both"/>
      </w:pPr>
      <w:r>
        <w:rPr>
          <w:rFonts w:eastAsia="Times New Roman"/>
          <w:color w:val="000000"/>
          <w:sz w:val="24"/>
          <w:szCs w:val="24"/>
          <w:lang w:val="sq-AL" w:eastAsia="sq-AL"/>
        </w:rPr>
        <w:t>20- N</w:t>
      </w:r>
      <w:r>
        <w:rPr>
          <w:rFonts w:eastAsia="Times New Roman"/>
          <w:color w:val="000000"/>
          <w:sz w:val="24"/>
          <w:szCs w:val="24"/>
          <w:lang w:val="sq-AL" w:eastAsia="sq-AL"/>
        </w:rPr>
        <w:t>ë përfundim të zbatimit të kontratës bën dorëzimin e dosjes në arkivë pasi ka dokumentuar në të dhe dosjen e zbatimit të kontratës;</w:t>
      </w:r>
    </w:p>
    <w:p w:rsidR="005944C4" w:rsidRDefault="005944C4">
      <w:pPr>
        <w:spacing w:line="240" w:lineRule="auto"/>
        <w:ind w:left="120" w:right="79" w:firstLine="28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1. LËVIZJA PARALELE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/>
          <w:sz w:val="24"/>
          <w:szCs w:val="24"/>
          <w:lang w:eastAsia="en-US"/>
        </w:rPr>
        <w:t>Kanë të drejtë të aplikojnë për këtë procedurë vetëm nëpunësit civilë të së njëjtës kategori, në të gji</w:t>
      </w:r>
      <w:r>
        <w:rPr>
          <w:rFonts w:ascii="Times New Roman" w:hAnsi="Times New Roman"/>
          <w:sz w:val="24"/>
          <w:szCs w:val="24"/>
          <w:lang w:eastAsia="en-US"/>
        </w:rPr>
        <w:t xml:space="preserve">tha insitucionet pjesë e shërbimit civil. 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1.1 KUSHTET PËR LËVIZJEN PARALELE DHE KRITERET E VEÇANTA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36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Kandidatët duhet të plotësojnë kushtet për lëvizjen paralele si vijon: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Të jetë nëpunës civil i konfirmuar, brenda së njëjtës kategori;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 Të mos ketë masë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disiplinore në fuqi;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45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 xml:space="preserve">Të ketë të paktën vlerësimin e fundit “mirë” apo “shumë mire”;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Kandidatët duhet të plotësojnë kërkesat e posaçme si vijon: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Të zotërojnë diplomë të nivelit “ Bachelor ose Master profesional”. (Diplomat të cilat janë marrë jashtë vend</w:t>
      </w:r>
      <w:r>
        <w:rPr>
          <w:rFonts w:ascii="Times New Roman" w:hAnsi="Times New Roman" w:cs="SimSun"/>
          <w:sz w:val="24"/>
          <w:szCs w:val="24"/>
          <w:lang w:eastAsia="en-US"/>
        </w:rPr>
        <w:t>it, duhet të jenë të njohura paraprakisht pranë institucionit përgjegjës për njehsimin e diplomave sipas legjislacionit në fuqi).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Të kenë eksperiencë pune jo më pak se 2 vite, në administratën shtetërore dhe/ose institucione të pavarura .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Të kenë aftësi të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mira komunikuese dhe të punës në grup.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1.2 DOKUMENTACIONI, MËNYRA DHE AFATI I DORËZIMIT 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left="360" w:right="4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36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Kandidatët duhet të dorëzojnë pranë Njësisë së Burimeve Njerëzore të Bashkisë Cërrik, dokumentat si më poshtë: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Jetëshkrim i plotësuar në përputhje me dokumentin ti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p që e gjeni në linkun: </w:t>
      </w:r>
      <w:hyperlink r:id="rId7" w:history="1">
        <w:r>
          <w:rPr>
            <w:rStyle w:val="Hyperlink"/>
            <w:rFonts w:cs="SimSun"/>
            <w:sz w:val="24"/>
            <w:szCs w:val="24"/>
            <w:lang w:eastAsia="en-US"/>
          </w:rPr>
          <w:t>http://dap.gov.al/vende-vakante/udhezime-dokumenta/219-udhezime-dokumenta</w:t>
        </w:r>
      </w:hyperlink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Fotokopje të diplomës (përfshirë edhe diplomën bachelor);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Fotokopje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të librezës së punës (të gjitha faqet që vërtetojnë eksperiencën në punë);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Fotokopje të letërnjoftimit (ID);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Vërtetim të gjendjes shëndetësore;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Vetëdeklarim të gjendjes gjyqësore; 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Vlerësimin e fundit nga eprori direkt;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Vërtetim nga Institucioni që nuk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ka masë displinore ne fuqi.</w:t>
      </w: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20"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Çdo dokumentacion tjetër që vërteton trajnimet, kualifikimet, arsimim shtesë, vlerësimet pozitive apo të tjera të përmendura në jetëshkrimin tuaj; 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left="750" w:right="40"/>
        <w:jc w:val="both"/>
      </w:pPr>
    </w:p>
    <w:p w:rsidR="005944C4" w:rsidRDefault="00AF63BC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Dokumentat duhet të dorëzohen me postë apo drejtpërsëdrejti pranë njësisë së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burimeve njerëzore të Bashkisë Cërrik, brenda datës </w:t>
      </w:r>
      <w:r w:rsidR="0048228F">
        <w:rPr>
          <w:rFonts w:ascii="Times New Roman" w:hAnsi="Times New Roman" w:cs="SimSun"/>
          <w:sz w:val="24"/>
          <w:szCs w:val="24"/>
          <w:lang w:eastAsia="en-US"/>
        </w:rPr>
        <w:t>09.10.2025</w:t>
      </w:r>
    </w:p>
    <w:p w:rsidR="005944C4" w:rsidRDefault="005944C4">
      <w:pPr>
        <w:tabs>
          <w:tab w:val="left" w:pos="300"/>
        </w:tabs>
        <w:autoSpaceDE w:val="0"/>
        <w:autoSpaceDN w:val="0"/>
        <w:adjustRightInd w:val="0"/>
        <w:spacing w:line="240" w:lineRule="auto"/>
        <w:ind w:right="4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1.3 REZULTATET PËR FAZËN E VERIFIKIMIT PARAPRAK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Në datën </w:t>
      </w:r>
      <w:r w:rsidR="0048228F">
        <w:rPr>
          <w:rFonts w:ascii="Times New Roman" w:eastAsia="Calibri" w:hAnsi="Times New Roman"/>
          <w:sz w:val="24"/>
          <w:szCs w:val="24"/>
          <w:lang w:eastAsia="en-US"/>
        </w:rPr>
        <w:t>13.10.2025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Njësia e Burimeve Njerëzore në Bashkinë Cërrik do të shpallë në portalin “Shërbimi Kombëtar i Punësimit”, në faqen e inte</w:t>
      </w:r>
      <w:r>
        <w:rPr>
          <w:rFonts w:ascii="Times New Roman" w:eastAsia="Calibri" w:hAnsi="Times New Roman"/>
          <w:sz w:val="24"/>
          <w:szCs w:val="24"/>
          <w:lang w:eastAsia="en-US"/>
        </w:rPr>
        <w:t>rnetit të Bashkisë Cërrik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dhe stendat e informimit të publikut, listën e kandidatëve që plotësojnë kushtet dhe kërkesat e posaçme për procedurën e lëvizjes paralele, si dhe datën, vendin dhe orën e saktë kur do të zhvillohet intervista.</w:t>
      </w: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Në të njëjtën datë </w:t>
      </w:r>
      <w:r>
        <w:rPr>
          <w:rFonts w:ascii="Times New Roman" w:eastAsia="Calibri" w:hAnsi="Times New Roman"/>
          <w:sz w:val="24"/>
          <w:szCs w:val="24"/>
          <w:lang w:eastAsia="en-US"/>
        </w:rPr>
        <w:t>kandidatët që nuk i plotësojnë kushtet e lëvizjes paralele dhe kërkesat e posaçme do të njoftohen individualisht nga Njësia e Burimeve Njerëzore (nëpërmjet adresës së e-mail), për shkaqet e moskualifikimit.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1.4 FUSHAT E NJOHURIVE, AFTËSITË DHE CILËSITË MB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I TË CILAT DO TË ZHVILLOHET INTERVISTA</w:t>
      </w:r>
    </w:p>
    <w:p w:rsidR="005944C4" w:rsidRDefault="005944C4">
      <w:pPr>
        <w:spacing w:line="240" w:lineRule="auto"/>
        <w:ind w:left="36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Kandidatët do të vlerësohen në lidhje me:</w:t>
      </w:r>
    </w:p>
    <w:p w:rsidR="005944C4" w:rsidRDefault="00AF63BC">
      <w:pPr>
        <w:spacing w:line="240" w:lineRule="auto"/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Njohuritë mbi legjislacionin për organizimin dhe funksionimin e qeverisjes vendore;</w:t>
      </w:r>
    </w:p>
    <w:p w:rsidR="005944C4" w:rsidRDefault="00AF63BC">
      <w:pPr>
        <w:spacing w:line="240" w:lineRule="auto"/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Njohuritë mbi ligjin nr.152/2013 “Për nëpunësin civil” i ndryshuar dhe aktet nënligjore në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zbatim të tij;</w:t>
      </w:r>
    </w:p>
    <w:p w:rsidR="005944C4" w:rsidRDefault="00AF63BC">
      <w:pPr>
        <w:autoSpaceDE w:val="0"/>
        <w:autoSpaceDN w:val="0"/>
        <w:adjustRightInd w:val="0"/>
        <w:spacing w:line="240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val="sq-AL" w:eastAsia="sq-AL"/>
        </w:rPr>
        <w:t>Ligjin nr. 119/2014 Për të drejtën e informimit</w:t>
      </w:r>
    </w:p>
    <w:p w:rsidR="005944C4" w:rsidRDefault="00AF63BC">
      <w:pPr>
        <w:autoSpaceDE w:val="0"/>
        <w:autoSpaceDN w:val="0"/>
        <w:adjustRightInd w:val="0"/>
        <w:spacing w:line="240" w:lineRule="auto"/>
        <w:ind w:left="720"/>
        <w:rPr>
          <w:rFonts w:ascii="Times New Roman" w:eastAsia="Calibri" w:hAnsi="Times New Roman"/>
          <w:color w:val="36363D"/>
          <w:sz w:val="24"/>
          <w:szCs w:val="24"/>
          <w:lang w:eastAsia="en-US"/>
        </w:rPr>
      </w:pPr>
      <w:r>
        <w:rPr>
          <w:rStyle w:val="Emphasis"/>
          <w:rFonts w:ascii="Arial" w:eastAsia="Times New Roman" w:hAnsi="Arial" w:cs="Arial"/>
          <w:b/>
          <w:bCs/>
          <w:i w:val="0"/>
          <w:color w:val="36363D"/>
          <w:szCs w:val="21"/>
          <w:shd w:val="clear" w:color="FFFFFF" w:fill="FFFFFF"/>
          <w:lang w:val="sq-AL" w:eastAsia="en-US"/>
        </w:rPr>
        <w:t>LIGJI</w:t>
      </w:r>
      <w:r>
        <w:rPr>
          <w:rFonts w:ascii="Arial" w:eastAsia="Times New Roman" w:hAnsi="Arial" w:cs="Arial"/>
          <w:color w:val="36363D"/>
          <w:sz w:val="21"/>
          <w:szCs w:val="21"/>
          <w:shd w:val="clear" w:color="FFFFFF" w:fill="FFFFFF"/>
          <w:lang w:val="sq-AL" w:eastAsia="en-US"/>
        </w:rPr>
        <w:t xml:space="preserve"> NR. 162 /2020 "Për Prokurimin Publik" </w:t>
      </w:r>
    </w:p>
    <w:p w:rsidR="005944C4" w:rsidRDefault="00AF63BC">
      <w:pPr>
        <w:autoSpaceDE w:val="0"/>
        <w:autoSpaceDN w:val="0"/>
        <w:adjustRightInd w:val="0"/>
        <w:spacing w:line="240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Ligji 16/2024 “Për disa shtesa dhe ndryshime në ligjin Nr. 162/2020 “Për Prokurimin Publik”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1.5     MËNYRA E VLERËSIMIT TË KANDIDATËVE 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left="360" w:right="-20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Kandidatët do të vlerësohen në lidhje me dokumentacionin e dorëzuar. Kandidatët do të vlerësohen për përvojën, trajnimet apo kualifikimet e lidhura me fushën, si dhe çertifikimin pozitiv. Totali i pikëve për këtë vlerësim është 40 pikë.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Kandidatët gjatë i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ntervistës së strukturuar me gojë do të vlerësohen në lidhje me: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Njohuritë, aftësitë, kompetencën në lidhje me përshkrimin e pozicionit të punës;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Eksperiencën e tyre të mëparshme;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Motivimin, aspiratat dhe pritshmëritë e tyre për karrierën.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36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Totali i pikë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ve për këtë vlerësim është 60 pikë.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>Më shumë detaje në lidhje me vlerësimin me pikë, metodologjinë e shpërndarjes së pikëve, mënyrën e llogaritjes së rezultatit përfundimtar i gjeni në Udhëzimin nr. 2, datë 27.03.2015, të Departamentit të Administratës Pu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blike “www.dap.gov.al” </w:t>
      </w:r>
      <w:hyperlink r:id="rId8" w:history="1">
        <w:r>
          <w:rPr>
            <w:rStyle w:val="Hyperlink"/>
            <w:rFonts w:cs="SimSun"/>
            <w:sz w:val="24"/>
            <w:szCs w:val="24"/>
            <w:lang w:eastAsia="en-US"/>
          </w:rPr>
          <w:t>http://dap.gov.al/2014-03-21-12-52-44/udhezime/426-udhezim-nr-2-date-27-03-2015</w:t>
        </w:r>
      </w:hyperlink>
      <w:r>
        <w:rPr>
          <w:rFonts w:ascii="Times New Roman" w:hAnsi="Times New Roman" w:cs="SimSun"/>
          <w:sz w:val="24"/>
          <w:szCs w:val="24"/>
          <w:lang w:eastAsia="en-US"/>
        </w:rPr>
        <w:t>.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right="-2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1.6 DATA E DALJES SË REZULTATEVE TË KONKURIMIT DHE MËNY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RA E KOMUNIKIMIT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Në përfundim të vlerësimit të kandidatëve, Njësia e Menaxhimit të Burimeve Njerëzore do të shpallë fituesin në portalin “Shërbimi Kombëtar i Punësimit” në faqen e internetit të Bashkisë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Cërrik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dhe stendat e informimit të publikut. Të </w:t>
      </w:r>
      <w:r>
        <w:rPr>
          <w:rFonts w:ascii="Times New Roman" w:eastAsia="Calibri" w:hAnsi="Times New Roman"/>
          <w:sz w:val="24"/>
          <w:szCs w:val="24"/>
          <w:lang w:eastAsia="en-US"/>
        </w:rPr>
        <w:t>gjithë kandidatët pjesëmarrës në këtë procedurë do të njoftohen individualisht në mënyrë elektronike, për rezultatet (nëpërmjet adresës së e-mail).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b/>
          <w:bCs/>
          <w:sz w:val="24"/>
          <w:szCs w:val="24"/>
          <w:u w:val="single"/>
          <w:lang w:eastAsia="en-US"/>
        </w:rPr>
        <w:t>2. PRANIMI NGA JASHTË NË KATEGORINË EKZEKUTIVE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right="-20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Vetëm në rast se nga pozicioni i cituar në fillim të kësaj </w:t>
      </w:r>
      <w:r>
        <w:rPr>
          <w:rFonts w:ascii="Times New Roman" w:hAnsi="Times New Roman" w:cs="SimSun"/>
          <w:sz w:val="24"/>
          <w:szCs w:val="24"/>
          <w:lang w:eastAsia="en-US"/>
        </w:rPr>
        <w:t>shpalljeje, në përfundim të procedurës së lëvizjes paralele, rezulton se ende ky pozicion është  vakant, ky pozicion  është i  vlefshme për konkurimin nëpërmjet procedurës pranim nga jashtë shërbimit civil.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jc w:val="both"/>
      </w:pP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Për këtë procedurë kanë të drejtë të aplikojnë të gjithë kandidatët që plotësojnë kërkesat e përgjithshme në përputhje me nenin 21, të Ligjit Nr. 152/2013, “Për nepunesit civil”, i ndryshuar. 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2.1 KUSHTET QË DU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HET TË PLOTËSOJË KANDIDATI PËR PROCEDURËN E  PRANIMIT NGA JASHTË DHE KRITERET E VEÇANTA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Kushtet që duhet të plotësojnë kandidatët për procedurën e pranimit nga jashtë  janë: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Të jetë shtetas shqiptar;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Të ketë zotësi të plotë për të vepruar;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Të zotërojë gju</w:t>
      </w:r>
      <w:r>
        <w:rPr>
          <w:rFonts w:ascii="Times New Roman" w:eastAsia="Calibri" w:hAnsi="Times New Roman"/>
          <w:sz w:val="24"/>
          <w:szCs w:val="24"/>
          <w:lang w:eastAsia="en-US"/>
        </w:rPr>
        <w:t>hën shqipe, të shkruar dhe të folur;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Të jetë në kushte shëndetësore që e lejojnë të kryejë detyrën përkatëse;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Të mos jetë i dënuar me vendim të formës së prerë për kryerjen e një krimi apo për kryerjen e një kundërvajtjeje penale me dashje;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Ndaj tij të mos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jetë marrë masa disiplinore e largimit nga shërbimi civil, që nuk është shuar sipas  Ligjit Nr. 152/2013, “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Për nëpunësin civil</w:t>
      </w:r>
      <w:r>
        <w:rPr>
          <w:rFonts w:ascii="Times New Roman" w:eastAsia="Calibri" w:hAnsi="Times New Roman"/>
          <w:sz w:val="24"/>
          <w:szCs w:val="24"/>
          <w:lang w:eastAsia="en-US"/>
        </w:rPr>
        <w:t>”, i ndryshuar.</w:t>
      </w:r>
    </w:p>
    <w:p w:rsidR="005944C4" w:rsidRDefault="005944C4">
      <w:pPr>
        <w:spacing w:line="240" w:lineRule="auto"/>
        <w:ind w:left="72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Kandidatët duhet të plotësojnë kriteret e veçanta si vijon: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a-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Të zotërojnë diplomë të nivelit “Bachelor”ose “Mas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ter Shkencor” apo “Profesional” njëjtën fushë.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Diplomat të cilat janë marrë jashtë vendit, duhet të jenë të njohura paraprakisht pranë institucionit përgjegjës për njehsimin e diplomave sipas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në degën “shkenca sociale”edhe diploma e nivelit “Bachelor”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duhet të jetë në të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legjislacionit në fuqi).</w:t>
      </w:r>
    </w:p>
    <w:p w:rsidR="005944C4" w:rsidRDefault="00AF63BC">
      <w:pPr>
        <w:ind w:left="720"/>
        <w:jc w:val="both"/>
      </w:pP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b-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Të kenë aftësi të mira komunikuese dhe të punës në grup.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944C4" w:rsidRDefault="005944C4">
      <w:pPr>
        <w:spacing w:line="240" w:lineRule="auto"/>
        <w:jc w:val="both"/>
      </w:pP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2.2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DOKUMENTACIONI, MËNYRA DHE AFATI I DORËZIMIT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Kandidatët (Jashtë Shërbimit Civil) duhet të dorëzojnë dokumentat si më poshtë: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a- Jetëshkrim i </w:t>
      </w:r>
      <w:r>
        <w:rPr>
          <w:rFonts w:ascii="Times New Roman" w:eastAsia="Calibri" w:hAnsi="Times New Roman"/>
          <w:sz w:val="24"/>
          <w:szCs w:val="24"/>
          <w:lang w:eastAsia="en-US"/>
        </w:rPr>
        <w:t>aplikantit;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b- Fotokopje të diplomës (përfshirë edhe diplomën bachelor);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c- Fotokopje të librezës së punës (të gjitha faqet që vërtetojnë eksperiencën në punë);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d- Fotokopje të letërnjoftimit (ID);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e- Vërtetim të gjendjes shëndetësore;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f- Vetëdeklarim të g</w:t>
      </w:r>
      <w:r>
        <w:rPr>
          <w:rFonts w:ascii="Times New Roman" w:eastAsia="Calibri" w:hAnsi="Times New Roman"/>
          <w:sz w:val="24"/>
          <w:szCs w:val="24"/>
          <w:lang w:eastAsia="en-US"/>
        </w:rPr>
        <w:t>jendjes gjyqësore.</w:t>
      </w:r>
    </w:p>
    <w:p w:rsidR="005944C4" w:rsidRDefault="00AF63BC">
      <w:pPr>
        <w:spacing w:line="240" w:lineRule="auto"/>
        <w:ind w:left="3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i- Çdo dokumentacion tjetër që vërteton dokumentet e përmendura në jetëshkrimin tuaj;</w:t>
      </w: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 w:cs="SimSun"/>
          <w:sz w:val="24"/>
          <w:szCs w:val="24"/>
          <w:lang w:eastAsia="en-US"/>
        </w:rPr>
        <w:t>Aplikimi dhe dorëzimi i të gjitha dokumentave të cituara më sipër, do të bëhen pranë njësisë së Burimeve Njerëzore, Bashkia Cërrik ose nëpërmjet shërbi</w:t>
      </w:r>
      <w:r>
        <w:rPr>
          <w:rFonts w:ascii="Times New Roman" w:eastAsia="Calibri" w:hAnsi="Times New Roman" w:cs="SimSun"/>
          <w:sz w:val="24"/>
          <w:szCs w:val="24"/>
          <w:lang w:eastAsia="en-US"/>
        </w:rPr>
        <w:t xml:space="preserve">mit postar. Aplikimi dhe dorëzimi i dokumentave për procedurën e pranimit nga jashtë duhet të bëhet brenda datës </w:t>
      </w:r>
      <w:r w:rsidR="0048228F">
        <w:rPr>
          <w:rFonts w:ascii="Times New Roman" w:eastAsia="Calibri" w:hAnsi="Times New Roman" w:cs="SimSun"/>
          <w:b/>
          <w:bCs/>
          <w:sz w:val="24"/>
          <w:szCs w:val="24"/>
          <w:lang w:eastAsia="en-US"/>
        </w:rPr>
        <w:t>14.10.2025</w:t>
      </w:r>
    </w:p>
    <w:p w:rsidR="005944C4" w:rsidRDefault="005944C4">
      <w:pPr>
        <w:spacing w:line="240" w:lineRule="auto"/>
        <w:jc w:val="both"/>
      </w:pPr>
    </w:p>
    <w:p w:rsidR="005944C4" w:rsidRDefault="005944C4">
      <w:pPr>
        <w:spacing w:line="240" w:lineRule="auto"/>
        <w:jc w:val="both"/>
      </w:pP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2.3 REZULTATET PËR FAZËN E VERIFIKIMIT PARAPRAK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Në datën </w:t>
      </w:r>
      <w:r w:rsidR="0048228F">
        <w:rPr>
          <w:rFonts w:ascii="Times New Roman" w:eastAsia="Calibri" w:hAnsi="Times New Roman"/>
          <w:sz w:val="24"/>
          <w:szCs w:val="24"/>
          <w:lang w:eastAsia="en-US"/>
        </w:rPr>
        <w:t>24.10.2025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Njësia e Menaxhimit të Burimeve Njerëzore  në Bashkinë </w:t>
      </w:r>
      <w:r>
        <w:rPr>
          <w:rFonts w:ascii="Times New Roman" w:eastAsia="Calibri" w:hAnsi="Times New Roman"/>
          <w:sz w:val="24"/>
          <w:szCs w:val="24"/>
          <w:lang w:eastAsia="en-US"/>
        </w:rPr>
        <w:t>Cërrik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do të shpallë në portalin “Shërbimi Kombëtar i Punësimit”, në faqen e internetit të Bashkisë dhe stendat e informimit të publikut, listën e kandidatëve që plotësojnë kushtet dhe kriteret e veçanta për procedurën e pranimit nga jashtë si dhe datën, v</w:t>
      </w:r>
      <w:r>
        <w:rPr>
          <w:rFonts w:ascii="Times New Roman" w:eastAsia="Calibri" w:hAnsi="Times New Roman"/>
          <w:sz w:val="24"/>
          <w:szCs w:val="24"/>
          <w:lang w:eastAsia="en-US"/>
        </w:rPr>
        <w:t>endin dhe orën e saktë ku do të zhvillohet testimi me shkrim dhe intervista.</w:t>
      </w: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Në të njëjtën datë kandidatët që nuk i plotësojnë kushtet dhe kërkesat e posaçme do të njoftohen individualisht (nëpërmjet adresës së e-mail), për shkaqet e moskualifikimit.</w:t>
      </w:r>
    </w:p>
    <w:p w:rsidR="005944C4" w:rsidRDefault="005944C4">
      <w:pPr>
        <w:spacing w:line="240" w:lineRule="auto"/>
        <w:jc w:val="both"/>
      </w:pPr>
    </w:p>
    <w:p w:rsidR="005944C4" w:rsidRDefault="00AF63BC">
      <w:pPr>
        <w:spacing w:line="240" w:lineRule="auto"/>
        <w:jc w:val="both"/>
      </w:pPr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2.4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FUSHAT E NJOHURIVE, AFTËSITË DHE CILËSITË MBI TË CILAT DO TË ZHVILLOHET TESTIMI DHE INTERVISTA</w:t>
      </w:r>
    </w:p>
    <w:p w:rsidR="005944C4" w:rsidRDefault="005944C4">
      <w:pPr>
        <w:spacing w:line="240" w:lineRule="auto"/>
        <w:ind w:left="36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Kandidatët do të vlerësohen në lidhje me:</w:t>
      </w:r>
    </w:p>
    <w:p w:rsidR="005944C4" w:rsidRDefault="00AF63BC">
      <w:pPr>
        <w:spacing w:line="240" w:lineRule="auto"/>
        <w:ind w:left="6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Njohuritë mbi legjislacionin për organizimin dhe funksionimin e qeverisjes vendore;</w:t>
      </w:r>
    </w:p>
    <w:p w:rsidR="005944C4" w:rsidRDefault="00AF63BC">
      <w:pPr>
        <w:spacing w:line="240" w:lineRule="auto"/>
        <w:ind w:left="6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Njohuritë mbi ligjin nr.152/2013 “</w:t>
      </w:r>
      <w:r>
        <w:rPr>
          <w:rFonts w:ascii="Times New Roman" w:eastAsia="Calibri" w:hAnsi="Times New Roman"/>
          <w:sz w:val="24"/>
          <w:szCs w:val="24"/>
          <w:lang w:eastAsia="en-US"/>
        </w:rPr>
        <w:t>Për nëpunësin civil” i ndryshuar dhe aktet nënligjore në zbatim të tij;</w:t>
      </w:r>
    </w:p>
    <w:p w:rsidR="005944C4" w:rsidRDefault="00AF63BC">
      <w:pPr>
        <w:spacing w:line="240" w:lineRule="auto"/>
        <w:ind w:left="6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Ligjin nr. 119/2014 Për të drejtën e informimit</w:t>
      </w:r>
    </w:p>
    <w:p w:rsidR="005944C4" w:rsidRDefault="00AF63BC">
      <w:pPr>
        <w:spacing w:line="240" w:lineRule="auto"/>
        <w:ind w:left="6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LIGJI NR. 162 /2020 "Për Prokurimin Publik" </w:t>
      </w:r>
    </w:p>
    <w:p w:rsidR="005944C4" w:rsidRDefault="00AF63BC">
      <w:pPr>
        <w:spacing w:line="240" w:lineRule="auto"/>
        <w:ind w:left="660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Ligji 16/2024 “Për disa shtesa dhe ndryshime në ligjin Nr. 162/2020 “Për Prokurimin Publik”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Kandidatët gjatë intervistës së strukturuar me gojë do të vlerësohen në lidhje me: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Motivimin, aspiratat dhe pritshmëritë e tyre për karrierën. 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right="-20"/>
        <w:jc w:val="both"/>
      </w:pPr>
    </w:p>
    <w:p w:rsidR="005944C4" w:rsidRDefault="00AF63BC">
      <w:pPr>
        <w:spacing w:line="240" w:lineRule="auto"/>
        <w:jc w:val="both"/>
      </w:pPr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2.5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MËNYRA E VLERËSIMIT TË KANDIDATËVE</w:t>
      </w:r>
    </w:p>
    <w:p w:rsidR="005944C4" w:rsidRDefault="005944C4">
      <w:pPr>
        <w:spacing w:line="240" w:lineRule="auto"/>
        <w:ind w:left="360"/>
        <w:jc w:val="both"/>
      </w:pPr>
    </w:p>
    <w:p w:rsidR="005944C4" w:rsidRDefault="00AF63BC">
      <w:pPr>
        <w:spacing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>Kandidatët do të vlerësohen në lidhje me: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 xml:space="preserve">Vlerësimin me shkrim, deri 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në 60 pikë;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Intervistën e strukturuar me gojë e cila konsiston në motivimin, aspiratat dhe pritshmëritë e tyre për karrierën, deri në 25 pikë;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left="720"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lastRenderedPageBreak/>
        <w:t>Jetëshkrimin, i cili konsiston në vlerësimin e arsimimit, të përvojës e të trajnimeve, të lidhura me fushën, der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i në 15 pikë; </w:t>
      </w: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 </w:t>
      </w:r>
      <w:hyperlink r:id="rId9" w:history="1">
        <w:r>
          <w:rPr>
            <w:rStyle w:val="Hyperlink"/>
            <w:rFonts w:cs="SimSun"/>
            <w:sz w:val="24"/>
            <w:szCs w:val="24"/>
            <w:lang w:eastAsia="en-US"/>
          </w:rPr>
          <w:t>http://dap.gov.al/2014-03-21-12-52-44/udhezime/426-udhezim-nr-2-date-27-03-2015</w:t>
        </w:r>
      </w:hyperlink>
      <w:r>
        <w:rPr>
          <w:rFonts w:ascii="Times New Roman" w:hAnsi="Times New Roman" w:cs="SimSun"/>
          <w:sz w:val="24"/>
          <w:szCs w:val="24"/>
          <w:lang w:eastAsia="en-US"/>
        </w:rPr>
        <w:t xml:space="preserve">. 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right="-20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hAnsi="Times New Roman" w:cs="SimSun"/>
          <w:b/>
          <w:bCs/>
          <w:sz w:val="24"/>
          <w:szCs w:val="24"/>
          <w:lang w:eastAsia="en-US"/>
        </w:rPr>
        <w:t xml:space="preserve">2.6 </w:t>
      </w: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 xml:space="preserve">DATA E DALJES SË REZULTATEVE TË KONKURRIMIT DHE MËNYRA E KOMUNIKIMIT 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left="360" w:right="-20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sz w:val="24"/>
          <w:szCs w:val="24"/>
          <w:lang w:eastAsia="en-US"/>
        </w:rPr>
        <w:t>Në përfundim të vlerësimit të kandidatëve, Bashkia Cërrik do të shpallë fituesin në faqen zyrtare dhe në portalin “Shërbimi Kombëtar i Punësimit”. Të gjithë kandidatët pjesëmarrës në këtë procedurë do të njoftohen individualisht në mënyrë elektronike për r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ezultatet (nëpërmjet adresës së e-mail). Të gjithë kandidatët që aplikojnë për procedurën e pranimit nga jashtë shërbimit civil </w:t>
      </w:r>
      <w:r>
        <w:rPr>
          <w:rFonts w:hAnsi="Times New Roman" w:cs="SimSun"/>
          <w:sz w:val="24"/>
          <w:szCs w:val="24"/>
          <w:lang w:eastAsia="en-US"/>
        </w:rPr>
        <w:t>n</w:t>
      </w:r>
      <w:r>
        <w:rPr>
          <w:rFonts w:hAnsi="Times New Roman" w:cs="SimSun"/>
          <w:sz w:val="24"/>
          <w:szCs w:val="24"/>
          <w:lang w:eastAsia="en-US"/>
        </w:rPr>
        <w:t>ë</w:t>
      </w:r>
      <w:r>
        <w:rPr>
          <w:rFonts w:hAnsi="Times New Roman" w:cs="SimSun"/>
          <w:sz w:val="24"/>
          <w:szCs w:val="24"/>
          <w:lang w:eastAsia="en-US"/>
        </w:rPr>
        <w:t xml:space="preserve"> kategorin</w:t>
      </w:r>
      <w:r>
        <w:rPr>
          <w:rFonts w:hAnsi="Times New Roman" w:cs="SimSun"/>
          <w:sz w:val="24"/>
          <w:szCs w:val="24"/>
          <w:lang w:eastAsia="en-US"/>
        </w:rPr>
        <w:t>ë</w:t>
      </w:r>
      <w:r>
        <w:rPr>
          <w:rFonts w:hAnsi="Times New Roman" w:cs="SimSun"/>
          <w:sz w:val="24"/>
          <w:szCs w:val="24"/>
          <w:lang w:eastAsia="en-US"/>
        </w:rPr>
        <w:t xml:space="preserve"> ekzekutive </w:t>
      </w:r>
      <w:r>
        <w:rPr>
          <w:rFonts w:ascii="Times New Roman" w:hAnsi="Times New Roman" w:cs="SimSun"/>
          <w:sz w:val="24"/>
          <w:szCs w:val="24"/>
          <w:lang w:eastAsia="en-US"/>
        </w:rPr>
        <w:t>do të marrin informacion në faqen e Shërbimit Kombëtar të Punësimit, për fazat e mëtejshme të procedurë</w:t>
      </w:r>
      <w:r>
        <w:rPr>
          <w:rFonts w:ascii="Times New Roman" w:hAnsi="Times New Roman" w:cs="SimSun"/>
          <w:sz w:val="24"/>
          <w:szCs w:val="24"/>
          <w:lang w:eastAsia="en-US"/>
        </w:rPr>
        <w:t xml:space="preserve">s së pranimit nga jashtë shërbimit civil </w:t>
      </w:r>
      <w:r>
        <w:rPr>
          <w:rFonts w:hAnsi="Times New Roman" w:cs="SimSun"/>
          <w:sz w:val="24"/>
          <w:szCs w:val="24"/>
          <w:lang w:eastAsia="en-US"/>
        </w:rPr>
        <w:t>n</w:t>
      </w:r>
      <w:r>
        <w:rPr>
          <w:rFonts w:hAnsi="Times New Roman" w:cs="SimSun"/>
          <w:sz w:val="24"/>
          <w:szCs w:val="24"/>
          <w:lang w:eastAsia="en-US"/>
        </w:rPr>
        <w:t>ë</w:t>
      </w:r>
      <w:r>
        <w:rPr>
          <w:rFonts w:hAnsi="Times New Roman" w:cs="SimSun"/>
          <w:sz w:val="24"/>
          <w:szCs w:val="24"/>
          <w:lang w:eastAsia="en-US"/>
        </w:rPr>
        <w:t xml:space="preserve"> kategorin</w:t>
      </w:r>
      <w:r>
        <w:rPr>
          <w:rFonts w:hAnsi="Times New Roman" w:cs="SimSun"/>
          <w:sz w:val="24"/>
          <w:szCs w:val="24"/>
          <w:lang w:eastAsia="en-US"/>
        </w:rPr>
        <w:t>ë</w:t>
      </w:r>
      <w:r>
        <w:rPr>
          <w:rFonts w:hAnsi="Times New Roman" w:cs="SimSun"/>
          <w:sz w:val="24"/>
          <w:szCs w:val="24"/>
          <w:lang w:eastAsia="en-US"/>
        </w:rPr>
        <w:t xml:space="preserve"> ekzekutive</w:t>
      </w:r>
      <w:r>
        <w:rPr>
          <w:rFonts w:ascii="Times New Roman" w:hAnsi="Times New Roman" w:cs="SimSun"/>
          <w:sz w:val="24"/>
          <w:szCs w:val="24"/>
          <w:lang w:eastAsia="en-US"/>
        </w:rPr>
        <w:t>, për datën e daljes së rezultateve të verifikimit paraprak si dhe për datën, vendin dhe orën ku do të zhvillohet konkurimi. Për të marrë këtë informacion, kandidatët duhet të vizitojnë në më</w:t>
      </w:r>
      <w:r>
        <w:rPr>
          <w:rFonts w:ascii="Times New Roman" w:hAnsi="Times New Roman" w:cs="SimSun"/>
          <w:sz w:val="24"/>
          <w:szCs w:val="24"/>
          <w:lang w:eastAsia="en-US"/>
        </w:rPr>
        <w:t>nyrë të vazh</w:t>
      </w:r>
      <w:r w:rsidR="0048228F">
        <w:rPr>
          <w:rFonts w:ascii="Times New Roman" w:hAnsi="Times New Roman" w:cs="SimSun"/>
          <w:sz w:val="24"/>
          <w:szCs w:val="24"/>
          <w:lang w:eastAsia="en-US"/>
        </w:rPr>
        <w:t>dueshme faqen e Bashkisë Cërrik.</w:t>
      </w:r>
    </w:p>
    <w:p w:rsidR="005944C4" w:rsidRDefault="005944C4">
      <w:pPr>
        <w:autoSpaceDE w:val="0"/>
        <w:autoSpaceDN w:val="0"/>
        <w:adjustRightInd w:val="0"/>
        <w:spacing w:before="44" w:line="240" w:lineRule="auto"/>
        <w:ind w:right="-20"/>
        <w:jc w:val="both"/>
      </w:pPr>
    </w:p>
    <w:p w:rsidR="005944C4" w:rsidRDefault="00AF63BC">
      <w:pPr>
        <w:autoSpaceDE w:val="0"/>
        <w:autoSpaceDN w:val="0"/>
        <w:adjustRightInd w:val="0"/>
        <w:spacing w:before="44" w:line="240" w:lineRule="auto"/>
        <w:ind w:right="-20"/>
        <w:jc w:val="both"/>
      </w:pPr>
      <w:r>
        <w:rPr>
          <w:rFonts w:ascii="Times New Roman" w:hAnsi="Times New Roman" w:cs="SimSun"/>
          <w:b/>
          <w:bCs/>
          <w:sz w:val="24"/>
          <w:szCs w:val="24"/>
          <w:lang w:eastAsia="en-US"/>
        </w:rPr>
        <w:t>NJËSIA E MENAXHIMIT TË BURIMEVE NJERËZORE</w:t>
      </w:r>
    </w:p>
    <w:p w:rsidR="005944C4" w:rsidRDefault="005944C4"/>
    <w:p w:rsidR="005944C4" w:rsidRDefault="005944C4"/>
    <w:p w:rsidR="005944C4" w:rsidRDefault="005944C4"/>
    <w:sectPr w:rsidR="005944C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BC" w:rsidRDefault="00AF63BC">
      <w:pPr>
        <w:spacing w:after="0" w:line="240" w:lineRule="auto"/>
      </w:pPr>
      <w:r>
        <w:separator/>
      </w:r>
    </w:p>
  </w:endnote>
  <w:endnote w:type="continuationSeparator" w:id="0">
    <w:p w:rsidR="00AF63BC" w:rsidRDefault="00AF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C4" w:rsidRDefault="00AF63BC">
    <w:pPr>
      <w:pStyle w:val="Header"/>
      <w:jc w:val="right"/>
    </w:pPr>
    <w:r>
      <w:rPr>
        <w:rFonts w:ascii="Times New Roman" w:eastAsia="Times New Roman" w:hAnsi="Times New Roman"/>
        <w:sz w:val="16"/>
        <w:szCs w:val="16"/>
        <w:lang w:val="de-DE" w:eastAsia="en-US"/>
      </w:rPr>
      <w:t xml:space="preserve">Adresa: Lagja Nr.2  “Bulevardi Gjimnazi 1962” Cërrik, Web: </w:t>
    </w:r>
    <w:hyperlink r:id="rId1" w:history="1">
      <w:r>
        <w:rPr>
          <w:rFonts w:ascii="Times New Roman" w:eastAsia="Times New Roman" w:hAnsi="Times New Roman"/>
          <w:color w:val="0000FF"/>
          <w:sz w:val="16"/>
          <w:szCs w:val="16"/>
          <w:u w:val="single"/>
          <w:lang w:val="de-DE" w:eastAsia="en-US"/>
        </w:rPr>
        <w:t>www.bashkiacerrik.gov.al</w:t>
      </w:r>
    </w:hyperlink>
    <w:r>
      <w:rPr>
        <w:rFonts w:ascii="Times New Roman" w:eastAsia="Times New Roman" w:hAnsi="Times New Roman"/>
        <w:sz w:val="16"/>
        <w:szCs w:val="16"/>
        <w:lang w:val="de-DE" w:eastAsia="en-US"/>
      </w:rPr>
      <w:t xml:space="preserve">, E-mail: </w:t>
    </w:r>
    <w:hyperlink r:id="rId2" w:history="1">
      <w:r>
        <w:rPr>
          <w:rFonts w:ascii="Times New Roman" w:eastAsia="Times New Roman" w:hAnsi="Times New Roman"/>
          <w:color w:val="0000FF"/>
          <w:sz w:val="16"/>
          <w:szCs w:val="16"/>
          <w:u w:val="single"/>
          <w:lang w:val="de-DE" w:eastAsia="en-US"/>
        </w:rPr>
        <w:t>info@bashkiacerrik.gov.al</w:t>
      </w:r>
    </w:hyperlink>
    <w:r>
      <w:rPr>
        <w:lang w:eastAsia="en-US"/>
      </w:rPr>
      <w:t xml:space="preserve"> </w:t>
    </w:r>
    <w:r>
      <w:fldChar w:fldCharType="begin"/>
    </w:r>
    <w:r>
      <w:instrText>PAGE</w:instrText>
    </w:r>
    <w:r>
      <w:fldChar w:fldCharType="separate"/>
    </w:r>
    <w:r w:rsidR="006827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BC" w:rsidRDefault="00AF63BC">
      <w:pPr>
        <w:spacing w:after="0" w:line="240" w:lineRule="auto"/>
      </w:pPr>
      <w:r>
        <w:separator/>
      </w:r>
    </w:p>
  </w:footnote>
  <w:footnote w:type="continuationSeparator" w:id="0">
    <w:p w:rsidR="00AF63BC" w:rsidRDefault="00AF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C4" w:rsidRDefault="005944C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C4"/>
    <w:rsid w:val="0048228F"/>
    <w:rsid w:val="005944C4"/>
    <w:rsid w:val="006827D2"/>
    <w:rsid w:val="00A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752ED"/>
  <w15:docId w15:val="{D9117658-0E38-43CA-B18D-39A198EC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1"/>
    </w:rPr>
  </w:style>
  <w:style w:type="paragraph" w:styleId="ListParagraph">
    <w:name w:val="List Paragraph"/>
    <w:basedOn w:val="Normal"/>
    <w:qFormat/>
    <w:pPr>
      <w:spacing w:after="0"/>
      <w:ind w:left="720"/>
    </w:pPr>
    <w:rPr>
      <w:rFonts w:eastAsia="Calibri"/>
      <w:sz w:val="21"/>
    </w:rPr>
  </w:style>
  <w:style w:type="character" w:styleId="Hyperlink">
    <w:name w:val="Hyperlink"/>
    <w:basedOn w:val="DefaultParagraphFont"/>
    <w:rPr>
      <w:rFonts w:ascii="Times New Roman" w:eastAsia="SimSun" w:hAnsi="Times New Roman" w:cs="Times New Roman"/>
      <w:color w:val="0563C1"/>
      <w:sz w:val="21"/>
      <w:u w:val="single"/>
    </w:rPr>
  </w:style>
  <w:style w:type="character" w:styleId="Emphasis">
    <w:name w:val="Emphasis"/>
    <w:rPr>
      <w:rFonts w:ascii="Times New Roman" w:eastAsia="SimSun" w:hAnsi="Times New Roman" w:cs="Times New Roman"/>
      <w:i/>
      <w:sz w:val="21"/>
    </w:rPr>
  </w:style>
  <w:style w:type="paragraph" w:customStyle="1" w:styleId="Body">
    <w:name w:val="&quot;Body&quot;"/>
    <w:pPr>
      <w:pBdr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US"/>
    </w:rPr>
  </w:style>
  <w:style w:type="paragraph" w:customStyle="1" w:styleId="Default">
    <w:name w:val="&quot;Default&quot;"/>
    <w:pPr>
      <w:autoSpaceDE w:val="0"/>
      <w:autoSpaceDN w:val="0"/>
      <w:adjustRightInd w:val="0"/>
    </w:pPr>
    <w:rPr>
      <w:rFonts w:ascii="CG Times" w:eastAsia="Calibri" w:hAnsi="CG Times" w:cs="CG Times"/>
      <w:color w:val="000000"/>
      <w:sz w:val="24"/>
      <w:szCs w:val="24"/>
      <w:lang w:val="sq-AL" w:eastAsia="en-US"/>
    </w:rPr>
  </w:style>
  <w:style w:type="paragraph" w:styleId="NoSpacing">
    <w:name w:val="No Spacing"/>
    <w:rPr>
      <w:rFonts w:ascii="Times New Roman" w:eastAsia="Calibri" w:hAnsi="Times New Roman"/>
      <w:sz w:val="22"/>
      <w:szCs w:val="22"/>
      <w:lang w:eastAsia="en-US"/>
    </w:rPr>
  </w:style>
  <w:style w:type="paragraph" w:customStyle="1" w:styleId="Body0">
    <w:name w:val="&quot;Body&quot;"/>
    <w:pPr>
      <w:pBdr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US"/>
    </w:rPr>
  </w:style>
  <w:style w:type="paragraph" w:customStyle="1" w:styleId="Default0">
    <w:name w:val="&quot;Default&quot;"/>
    <w:pPr>
      <w:autoSpaceDE w:val="0"/>
      <w:autoSpaceDN w:val="0"/>
      <w:adjustRightInd w:val="0"/>
    </w:pPr>
    <w:rPr>
      <w:rFonts w:ascii="CG Times" w:eastAsia="Calibri" w:hAnsi="CG Times" w:cs="CG Times"/>
      <w:color w:val="000000"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SM-A217F</dc:creator>
  <cp:lastModifiedBy>user</cp:lastModifiedBy>
  <cp:revision>2</cp:revision>
  <dcterms:created xsi:type="dcterms:W3CDTF">2025-09-29T08:02:00Z</dcterms:created>
  <dcterms:modified xsi:type="dcterms:W3CDTF">2025-09-29T08:02:00Z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5db92d5b12524440a80a0bbe241acb9e</vt:lpwstr>
  </property>
</Properties>
</file>