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1D2C9558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F714B8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7E1C57C9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647742">
        <w:rPr>
          <w:rFonts w:ascii="Times New Roman" w:hAnsi="Times New Roman"/>
          <w:b/>
          <w:sz w:val="24"/>
          <w:szCs w:val="24"/>
          <w:lang w:val="it-IT"/>
        </w:rPr>
        <w:t>PER MENAXHIM PRONASH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DF99216" w14:textId="77777777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zbatim te nenit </w:t>
      </w:r>
      <w:r>
        <w:rPr>
          <w:rFonts w:ascii="Times New Roman" w:hAnsi="Times New Roman"/>
          <w:sz w:val="24"/>
          <w:szCs w:val="24"/>
        </w:rPr>
        <w:t>22 dhe 25 te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 xml:space="preserve">Vendimit nr.243 date 18.03.2015 te Keshillit te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Per pranimin, levizjen paralele, peridhen e proves dhe emerimin ne kategorine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63C87A37" w:rsidR="006B3FDB" w:rsidRDefault="00647742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09246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BC376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per Menaxhim Pronash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 xml:space="preserve">Drejtorinë e </w:t>
      </w:r>
      <w:r w:rsidR="00092468">
        <w:rPr>
          <w:rFonts w:ascii="Times New Roman" w:hAnsi="Times New Roman"/>
          <w:sz w:val="24"/>
          <w:szCs w:val="24"/>
        </w:rPr>
        <w:t>Planifikimit dhe Zhvillimit te Territorit, Mjedisit dhe Prones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392FED32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9E48D1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5C40C43B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67592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7592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194A5804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NÊ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67592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7592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3E7B2985" w:rsidR="00533164" w:rsidRPr="00953824" w:rsidRDefault="00533164" w:rsidP="004B5E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64774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per Menaxhim Pronash</w:t>
            </w:r>
            <w:r w:rsidR="00F714B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446039" w:rsidRPr="00446039">
              <w:rPr>
                <w:rFonts w:ascii="Times New Roman" w:hAnsi="Times New Roman"/>
                <w:color w:val="FFFF00"/>
                <w:sz w:val="24"/>
                <w:szCs w:val="24"/>
                <w:lang w:val="it-IT"/>
              </w:rPr>
              <w:t xml:space="preserve"> 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2D47125" w14:textId="77777777" w:rsidR="006264FB" w:rsidRDefault="006264FB" w:rsidP="006264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B50A6EB" w14:textId="77777777" w:rsidR="00647742" w:rsidRPr="00647742" w:rsidRDefault="00647742" w:rsidP="00647742">
      <w:pPr>
        <w:widowControl w:val="0"/>
        <w:autoSpaceDE w:val="0"/>
        <w:autoSpaceDN w:val="0"/>
        <w:spacing w:after="0"/>
        <w:ind w:left="270" w:right="112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647742">
        <w:rPr>
          <w:rFonts w:ascii="Times New Roman" w:eastAsia="Times New Roman" w:hAnsi="Times New Roman"/>
          <w:sz w:val="24"/>
          <w:szCs w:val="24"/>
          <w:lang w:val="sq-AL"/>
        </w:rPr>
        <w:t>Është nëpunës civil dhe eshte ne varesi te Pergjegjesit te Sektorit. Detyrat dhe përgjegjësitë e tij janë:</w:t>
      </w:r>
    </w:p>
    <w:p w14:paraId="10206AAD" w14:textId="77777777" w:rsidR="00647742" w:rsidRPr="00647742" w:rsidRDefault="00647742" w:rsidP="00647742">
      <w:pPr>
        <w:widowControl w:val="0"/>
        <w:tabs>
          <w:tab w:val="left" w:pos="740"/>
        </w:tabs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647742">
        <w:rPr>
          <w:rFonts w:ascii="Times New Roman" w:eastAsia="Times New Roman" w:hAnsi="Times New Roman"/>
          <w:sz w:val="24"/>
          <w:szCs w:val="24"/>
        </w:rPr>
        <w:t>Evidenton</w:t>
      </w:r>
      <w:r w:rsidRPr="0064774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pronat</w:t>
      </w:r>
      <w:r w:rsidRPr="0064774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publike</w:t>
      </w:r>
      <w:r w:rsidRPr="0064774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te</w:t>
      </w:r>
      <w:r w:rsidRPr="00647742">
        <w:rPr>
          <w:rFonts w:ascii="Times New Roman" w:eastAsia="Times New Roman" w:hAnsi="Times New Roman"/>
          <w:spacing w:val="-2"/>
          <w:sz w:val="24"/>
          <w:szCs w:val="24"/>
        </w:rPr>
        <w:t xml:space="preserve"> Bashkisë.</w:t>
      </w:r>
    </w:p>
    <w:p w14:paraId="46A93881" w14:textId="77777777" w:rsidR="00647742" w:rsidRPr="00647742" w:rsidRDefault="00647742" w:rsidP="00647742">
      <w:pPr>
        <w:widowControl w:val="0"/>
        <w:tabs>
          <w:tab w:val="left" w:pos="740"/>
        </w:tabs>
        <w:autoSpaceDE w:val="0"/>
        <w:autoSpaceDN w:val="0"/>
        <w:spacing w:before="44" w:after="0"/>
        <w:ind w:left="720" w:right="123"/>
        <w:jc w:val="both"/>
        <w:rPr>
          <w:rFonts w:ascii="Times New Roman" w:eastAsia="Times New Roman" w:hAnsi="Times New Roman"/>
          <w:sz w:val="24"/>
          <w:szCs w:val="24"/>
        </w:rPr>
      </w:pPr>
      <w:r w:rsidRPr="00647742">
        <w:rPr>
          <w:rFonts w:ascii="Times New Roman" w:eastAsia="Times New Roman" w:hAnsi="Times New Roman"/>
          <w:sz w:val="24"/>
          <w:szCs w:val="24"/>
        </w:rPr>
        <w:t>Mbikëqyr të gjithë procesin e inventarizimit te pronave publike te Bashkisë, përgatit, harton dokumentacionin e pronave.</w:t>
      </w:r>
    </w:p>
    <w:p w14:paraId="64E9758B" w14:textId="77777777" w:rsidR="00647742" w:rsidRPr="00647742" w:rsidRDefault="00647742" w:rsidP="00647742">
      <w:pPr>
        <w:widowControl w:val="0"/>
        <w:tabs>
          <w:tab w:val="left" w:pos="740"/>
        </w:tabs>
        <w:autoSpaceDE w:val="0"/>
        <w:autoSpaceDN w:val="0"/>
        <w:spacing w:before="6" w:after="0"/>
        <w:ind w:left="720" w:right="120"/>
        <w:jc w:val="both"/>
        <w:rPr>
          <w:rFonts w:ascii="Times New Roman" w:eastAsia="Times New Roman" w:hAnsi="Times New Roman"/>
          <w:sz w:val="24"/>
          <w:szCs w:val="24"/>
        </w:rPr>
      </w:pPr>
      <w:r w:rsidRPr="00647742">
        <w:rPr>
          <w:rFonts w:ascii="Times New Roman" w:eastAsia="Times New Roman" w:hAnsi="Times New Roman"/>
          <w:sz w:val="24"/>
          <w:szCs w:val="24"/>
        </w:rPr>
        <w:t>Ndjek</w:t>
      </w:r>
      <w:r w:rsidRPr="0064774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procedurat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e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regjistrimit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të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pronave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publike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të Bashkisë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në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Zyrën</w:t>
      </w:r>
      <w:r w:rsidRPr="0064774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e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Regjistrimit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të Pasurive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të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Palujatshme,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Fier.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Krijon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hartën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e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pronave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të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Bashkisë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dhe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evidenton</w:t>
      </w:r>
      <w:r w:rsidRPr="00647742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pronarët kufijtarë me pronësinë e Bashkisë.</w:t>
      </w:r>
    </w:p>
    <w:p w14:paraId="6B4F36AD" w14:textId="77777777" w:rsidR="00647742" w:rsidRPr="00647742" w:rsidRDefault="00647742" w:rsidP="00647742">
      <w:pPr>
        <w:widowControl w:val="0"/>
        <w:tabs>
          <w:tab w:val="left" w:pos="740"/>
        </w:tabs>
        <w:autoSpaceDE w:val="0"/>
        <w:autoSpaceDN w:val="0"/>
        <w:spacing w:after="0"/>
        <w:ind w:left="720" w:right="127"/>
        <w:jc w:val="both"/>
        <w:rPr>
          <w:rFonts w:ascii="Times New Roman" w:eastAsia="Times New Roman" w:hAnsi="Times New Roman"/>
          <w:sz w:val="24"/>
          <w:szCs w:val="24"/>
        </w:rPr>
      </w:pPr>
      <w:r w:rsidRPr="00647742">
        <w:rPr>
          <w:rFonts w:ascii="Times New Roman" w:eastAsia="Times New Roman" w:hAnsi="Times New Roman"/>
          <w:sz w:val="24"/>
          <w:szCs w:val="24"/>
        </w:rPr>
        <w:t>Mban kontakte më Agjensisë e Transferimit të Pronave Publike për dokumentacionin e këruar lidhur me trasferimin e pronave të Bashkisë.</w:t>
      </w:r>
    </w:p>
    <w:p w14:paraId="58F17B3D" w14:textId="77777777" w:rsidR="00647742" w:rsidRPr="00647742" w:rsidRDefault="00647742" w:rsidP="00647742">
      <w:pPr>
        <w:widowControl w:val="0"/>
        <w:tabs>
          <w:tab w:val="left" w:pos="740"/>
        </w:tabs>
        <w:autoSpaceDE w:val="0"/>
        <w:autoSpaceDN w:val="0"/>
        <w:spacing w:after="0"/>
        <w:ind w:left="720" w:right="120"/>
        <w:jc w:val="both"/>
        <w:rPr>
          <w:rFonts w:ascii="Times New Roman" w:eastAsia="Times New Roman" w:hAnsi="Times New Roman"/>
          <w:sz w:val="24"/>
          <w:szCs w:val="24"/>
        </w:rPr>
      </w:pPr>
      <w:r w:rsidRPr="00647742">
        <w:rPr>
          <w:rFonts w:ascii="Times New Roman" w:eastAsia="Times New Roman" w:hAnsi="Times New Roman"/>
          <w:sz w:val="24"/>
          <w:szCs w:val="24"/>
        </w:rPr>
        <w:t>Plotëson</w:t>
      </w:r>
      <w:r w:rsidRPr="0064774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nevojat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që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ka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drejtoria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për</w:t>
      </w:r>
      <w:r w:rsidRPr="0064774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rilevime</w:t>
      </w:r>
      <w:r w:rsidRPr="0064774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të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ndryshme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si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sheshe,</w:t>
      </w:r>
      <w:r w:rsidRPr="0064774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rrugë,</w:t>
      </w:r>
      <w:r w:rsidRPr="0064774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lulishte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si</w:t>
      </w:r>
      <w:r w:rsidRPr="0064774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dhe azhornimin e linjave elektrike.</w:t>
      </w:r>
    </w:p>
    <w:p w14:paraId="4311BEAF" w14:textId="77777777" w:rsidR="00647742" w:rsidRPr="00647742" w:rsidRDefault="00647742" w:rsidP="00647742">
      <w:pPr>
        <w:widowControl w:val="0"/>
        <w:tabs>
          <w:tab w:val="left" w:pos="740"/>
        </w:tabs>
        <w:autoSpaceDE w:val="0"/>
        <w:autoSpaceDN w:val="0"/>
        <w:spacing w:after="0"/>
        <w:ind w:left="720" w:right="120"/>
        <w:jc w:val="both"/>
        <w:rPr>
          <w:rFonts w:ascii="Times New Roman" w:eastAsia="Times New Roman" w:hAnsi="Times New Roman"/>
          <w:sz w:val="24"/>
          <w:szCs w:val="24"/>
        </w:rPr>
      </w:pPr>
      <w:r w:rsidRPr="00647742">
        <w:rPr>
          <w:rFonts w:ascii="Times New Roman" w:eastAsia="Times New Roman" w:hAnsi="Times New Roman"/>
          <w:sz w:val="24"/>
          <w:szCs w:val="24"/>
        </w:rPr>
        <w:t>Është</w:t>
      </w:r>
      <w:r w:rsidRPr="0064774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përgjegjëse</w:t>
      </w:r>
      <w:r w:rsidRPr="0064774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për</w:t>
      </w:r>
      <w:r w:rsidRPr="0064774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mirë-administrimin</w:t>
      </w:r>
      <w:r w:rsidRPr="0064774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e</w:t>
      </w:r>
      <w:r w:rsidRPr="0064774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çdo</w:t>
      </w:r>
      <w:r w:rsidRPr="0064774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çështje</w:t>
      </w:r>
      <w:r w:rsidRPr="0064774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që</w:t>
      </w:r>
      <w:r w:rsidRPr="0064774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lidhet</w:t>
      </w:r>
      <w:r w:rsidRPr="0064774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me</w:t>
      </w:r>
      <w:r w:rsidRPr="0064774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identifikimin, regjistrimin dhe inventarizimin e pronave të paluajtshme në pronësi të Bashkisë.</w:t>
      </w:r>
    </w:p>
    <w:p w14:paraId="1ACD0C27" w14:textId="77777777" w:rsidR="00647742" w:rsidRPr="00647742" w:rsidRDefault="00647742" w:rsidP="00647742">
      <w:pPr>
        <w:widowControl w:val="0"/>
        <w:tabs>
          <w:tab w:val="left" w:pos="740"/>
        </w:tabs>
        <w:autoSpaceDE w:val="0"/>
        <w:autoSpaceDN w:val="0"/>
        <w:ind w:left="720" w:right="120"/>
        <w:jc w:val="both"/>
        <w:rPr>
          <w:rFonts w:ascii="Times New Roman" w:eastAsia="Times New Roman" w:hAnsi="Times New Roman"/>
          <w:sz w:val="24"/>
          <w:szCs w:val="24"/>
        </w:rPr>
      </w:pPr>
      <w:r w:rsidRPr="00647742">
        <w:rPr>
          <w:rFonts w:ascii="Times New Roman" w:eastAsia="Times New Roman" w:hAnsi="Times New Roman"/>
          <w:sz w:val="24"/>
          <w:szCs w:val="24"/>
        </w:rPr>
        <w:t>Zbaton</w:t>
      </w:r>
      <w:r w:rsidRPr="0064774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detyrat</w:t>
      </w:r>
      <w:r w:rsidRPr="0064774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te</w:t>
      </w:r>
      <w:r w:rsidRPr="0064774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ngarkuara</w:t>
      </w:r>
      <w:r w:rsidRPr="0064774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z w:val="24"/>
          <w:szCs w:val="24"/>
        </w:rPr>
        <w:t>nga</w:t>
      </w:r>
      <w:r w:rsidRPr="0064774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47742">
        <w:rPr>
          <w:rFonts w:ascii="Times New Roman" w:eastAsia="Times New Roman" w:hAnsi="Times New Roman"/>
          <w:spacing w:val="-2"/>
          <w:sz w:val="24"/>
          <w:szCs w:val="24"/>
        </w:rPr>
        <w:t>eprori.</w:t>
      </w: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4C758FCA" w:rsidR="00591F25" w:rsidRPr="001D0907" w:rsidRDefault="009E48D1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e zoteroje nje </w:t>
      </w:r>
      <w:r w:rsidR="0081559B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647742" w:rsidRPr="00647742">
        <w:rPr>
          <w:rFonts w:ascii="Times New Roman" w:hAnsi="Times New Roman"/>
          <w:sz w:val="24"/>
          <w:szCs w:val="24"/>
          <w:lang w:val="it-IT" w:eastAsia="ru-RU"/>
        </w:rPr>
        <w:t>në Arkitekturë/Inxhinieri Elektrike/Ndertimi</w:t>
      </w:r>
      <w:r w:rsidR="003F0E13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77777777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FE53C" w14:textId="20486BB3" w:rsidR="00C9481C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E47769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lastRenderedPageBreak/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Satatusit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51EFEA01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i/>
          <w:sz w:val="24"/>
          <w:szCs w:val="24"/>
        </w:rPr>
        <w:t>2</w:t>
      </w:r>
      <w:r w:rsidR="00675928">
        <w:rPr>
          <w:rFonts w:ascii="Times New Roman" w:hAnsi="Times New Roman"/>
          <w:b/>
          <w:i/>
          <w:sz w:val="24"/>
          <w:szCs w:val="24"/>
        </w:rPr>
        <w:t>9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  <w:r w:rsidR="009E48D1">
        <w:rPr>
          <w:rFonts w:ascii="Times New Roman" w:hAnsi="Times New Roman"/>
          <w:b/>
          <w:i/>
          <w:sz w:val="24"/>
          <w:szCs w:val="24"/>
        </w:rPr>
        <w:t>0</w:t>
      </w:r>
      <w:r w:rsidR="00675928">
        <w:rPr>
          <w:rFonts w:ascii="Times New Roman" w:hAnsi="Times New Roman"/>
          <w:b/>
          <w:i/>
          <w:sz w:val="24"/>
          <w:szCs w:val="24"/>
        </w:rPr>
        <w:t>9</w:t>
      </w:r>
      <w:r w:rsidR="0076245A">
        <w:rPr>
          <w:rFonts w:ascii="Times New Roman" w:hAnsi="Times New Roman"/>
          <w:b/>
          <w:i/>
          <w:sz w:val="24"/>
          <w:szCs w:val="24"/>
        </w:rPr>
        <w:t>.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9E48D1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2DC28A1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675928">
        <w:rPr>
          <w:rFonts w:ascii="Times New Roman" w:hAnsi="Times New Roman"/>
          <w:b/>
          <w:sz w:val="24"/>
          <w:szCs w:val="24"/>
        </w:rPr>
        <w:t>01</w:t>
      </w:r>
      <w:r w:rsidR="007F5D9A" w:rsidRPr="005463BD">
        <w:rPr>
          <w:rFonts w:ascii="Times New Roman" w:hAnsi="Times New Roman"/>
          <w:b/>
          <w:sz w:val="24"/>
          <w:szCs w:val="24"/>
        </w:rPr>
        <w:t>.</w:t>
      </w:r>
      <w:r w:rsidR="00675928">
        <w:rPr>
          <w:rFonts w:ascii="Times New Roman" w:hAnsi="Times New Roman"/>
          <w:b/>
          <w:sz w:val="24"/>
          <w:szCs w:val="24"/>
        </w:rPr>
        <w:t>10</w:t>
      </w:r>
      <w:r w:rsidR="00415EBC" w:rsidRPr="005463BD">
        <w:rPr>
          <w:rFonts w:ascii="Times New Roman" w:hAnsi="Times New Roman"/>
          <w:b/>
          <w:sz w:val="24"/>
          <w:szCs w:val="24"/>
        </w:rPr>
        <w:t>.202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67854B1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0822BF1E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C79C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2B5D9C84" w14:textId="77777777" w:rsidR="005463BD" w:rsidRPr="00171896" w:rsidRDefault="005463BD" w:rsidP="005463BD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414A3C8F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58021429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62CC5D68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552849EE" w14:textId="77777777" w:rsidR="005463BD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lastRenderedPageBreak/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52834EBA" w14:textId="77777777" w:rsidR="00647742" w:rsidRDefault="00092468" w:rsidP="00647742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Ligji Nr. 107/2014 “Për planifikimin dhe zhvillimin e territorit”,i ndryshuar;</w:t>
      </w:r>
    </w:p>
    <w:p w14:paraId="76B39351" w14:textId="77777777" w:rsidR="00647742" w:rsidRDefault="00647742" w:rsidP="00647742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742">
        <w:rPr>
          <w:rFonts w:ascii="Times New Roman" w:hAnsi="Times New Roman"/>
          <w:sz w:val="24"/>
          <w:szCs w:val="24"/>
        </w:rPr>
        <w:t xml:space="preserve">Ligjin Nr. 8743 datë 22.2.2001 “Për pronat e paluajtshme të shtetit” i  ndryshuar,  </w:t>
      </w:r>
    </w:p>
    <w:p w14:paraId="0D3D75DA" w14:textId="745EDF90" w:rsidR="00647742" w:rsidRPr="00647742" w:rsidRDefault="00647742" w:rsidP="00647742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742">
        <w:rPr>
          <w:rFonts w:ascii="Times New Roman" w:hAnsi="Times New Roman"/>
          <w:sz w:val="24"/>
          <w:szCs w:val="24"/>
        </w:rPr>
        <w:t>Ligjin Nr. 8744 datë 22.2.2001 “Për transferimin e pronave publike të paluajtshme të shtetit tek njësitë e qeverisjes vendore” i ndryshuar;</w:t>
      </w:r>
    </w:p>
    <w:p w14:paraId="3DDD4D1F" w14:textId="0F168D90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2D16332A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datën dhe vendin e 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 kandidatët do të njoftohen nga Drejtoria e Burimeve Njerezore</w:t>
      </w:r>
      <w:r w:rsidR="009E48D1">
        <w:rPr>
          <w:rFonts w:ascii="Times New Roman" w:hAnsi="Times New Roman" w:cs="Times New Roman"/>
          <w:sz w:val="24"/>
          <w:szCs w:val="24"/>
        </w:rPr>
        <w:t>, Juridike dhe Arkivit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shtetas shqiptar;</w:t>
      </w:r>
    </w:p>
    <w:p w14:paraId="30B48260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lastRenderedPageBreak/>
        <w:t>Te kete zotesi te plote per te vepruar;</w:t>
      </w:r>
    </w:p>
    <w:p w14:paraId="17FA7777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zoteroje gjuhen shqipe, te shkruar dhe te folur;</w:t>
      </w:r>
    </w:p>
    <w:p w14:paraId="7EC5DADB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ne kushte shendetesore qe e lejojne te kryeje detyren perkatese;</w:t>
      </w:r>
    </w:p>
    <w:p w14:paraId="076A0078" w14:textId="7777777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mos jete i denuar me vendim te formes se prere per kryerjen e nje krimi apo per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nje kundervajtjeje penale me dashje;</w:t>
      </w:r>
    </w:p>
    <w:p w14:paraId="08A0A748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te mos jete marre masa disiplinore e largimit nga sherbimi civil, qe nuk eshte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70DE3158" w:rsidR="006C307B" w:rsidRPr="001D0907" w:rsidRDefault="00D5495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te zoteroje nje 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E5016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647742" w:rsidRPr="00647742">
        <w:rPr>
          <w:rFonts w:ascii="Times New Roman" w:eastAsia="Times New Roman" w:hAnsi="Times New Roman"/>
          <w:sz w:val="24"/>
          <w:szCs w:val="24"/>
          <w:lang w:val="sq-AL"/>
        </w:rPr>
        <w:t xml:space="preserve"> në Arkitekturë/Inxhinieri Elektrike/Ndertimi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7777777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6746F25F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675928">
        <w:rPr>
          <w:rFonts w:ascii="Times New Roman" w:hAnsi="Times New Roman"/>
          <w:b/>
          <w:i/>
          <w:szCs w:val="24"/>
        </w:rPr>
        <w:t>03</w:t>
      </w:r>
      <w:r w:rsidR="00305BF5" w:rsidRPr="005463BD">
        <w:rPr>
          <w:rFonts w:ascii="Times New Roman" w:hAnsi="Times New Roman"/>
          <w:b/>
          <w:i/>
          <w:szCs w:val="24"/>
        </w:rPr>
        <w:t>.</w:t>
      </w:r>
      <w:r w:rsidR="00675928">
        <w:rPr>
          <w:rFonts w:ascii="Times New Roman" w:hAnsi="Times New Roman"/>
          <w:b/>
          <w:i/>
          <w:szCs w:val="24"/>
        </w:rPr>
        <w:t>10</w:t>
      </w:r>
      <w:r w:rsidR="00415EBC" w:rsidRPr="005463BD">
        <w:rPr>
          <w:rFonts w:ascii="Times New Roman" w:hAnsi="Times New Roman"/>
          <w:b/>
          <w:i/>
          <w:szCs w:val="24"/>
        </w:rPr>
        <w:t>.202</w:t>
      </w:r>
      <w:r w:rsidR="009E48D1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28D22080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675928">
        <w:rPr>
          <w:rFonts w:ascii="Times New Roman" w:hAnsi="Times New Roman"/>
          <w:b/>
          <w:sz w:val="24"/>
          <w:szCs w:val="24"/>
        </w:rPr>
        <w:t>13</w:t>
      </w:r>
      <w:r w:rsidRPr="000854C6">
        <w:rPr>
          <w:rFonts w:ascii="Times New Roman" w:hAnsi="Times New Roman"/>
          <w:b/>
          <w:sz w:val="24"/>
          <w:szCs w:val="24"/>
        </w:rPr>
        <w:t>.</w:t>
      </w:r>
      <w:r w:rsidR="00675928">
        <w:rPr>
          <w:rFonts w:ascii="Times New Roman" w:hAnsi="Times New Roman"/>
          <w:b/>
          <w:sz w:val="24"/>
          <w:szCs w:val="24"/>
        </w:rPr>
        <w:t>10</w:t>
      </w:r>
      <w:r w:rsidR="00E50165" w:rsidRPr="000854C6">
        <w:rPr>
          <w:rFonts w:ascii="Times New Roman" w:hAnsi="Times New Roman"/>
          <w:b/>
          <w:sz w:val="24"/>
          <w:szCs w:val="24"/>
        </w:rPr>
        <w:t>.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5CAB0C01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34C2E0F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5 (pesë) ditëve kalendarike, nga data e njoftimit individua,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48BA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43B6D7BE" w14:textId="77777777" w:rsidR="005463BD" w:rsidRPr="00171896" w:rsidRDefault="005463BD" w:rsidP="005463BD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587F7B80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2DB1B16C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14F0407F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2D7F8ED9" w14:textId="34FFAEB4" w:rsidR="00533164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7D1A7FCD" w14:textId="77777777" w:rsidR="00647742" w:rsidRDefault="00092468" w:rsidP="00647742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Ligji Nr. 107/2014 “Për planifikimin dhe zhvillimin e territorit”,i ndryshuar;</w:t>
      </w:r>
    </w:p>
    <w:p w14:paraId="193ACFFA" w14:textId="77777777" w:rsidR="00647742" w:rsidRDefault="00647742" w:rsidP="00647742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204023117"/>
      <w:r w:rsidRPr="00647742">
        <w:rPr>
          <w:rFonts w:ascii="Times New Roman" w:hAnsi="Times New Roman"/>
          <w:sz w:val="24"/>
          <w:szCs w:val="24"/>
        </w:rPr>
        <w:t xml:space="preserve">Ligjin Nr. 8743 datë 22.2.2001 “Për pronat e paluajtshme të shtetit” i  ndryshuar,  </w:t>
      </w:r>
    </w:p>
    <w:p w14:paraId="607188B1" w14:textId="531CF6F4" w:rsidR="00647742" w:rsidRPr="00647742" w:rsidRDefault="00647742" w:rsidP="00647742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742">
        <w:rPr>
          <w:rFonts w:ascii="Times New Roman" w:hAnsi="Times New Roman"/>
          <w:sz w:val="24"/>
          <w:szCs w:val="24"/>
        </w:rPr>
        <w:t>Ligjin Nr. 8744 datë 22.2.2001 “Për transferimin e pronave publike të paluajtshme të shtetit tek njësitë e qeverisjes vendore” i ndryshuar;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0"/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48DD636F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7AB08" w14:textId="47A05656" w:rsidR="005463BD" w:rsidRPr="00372DEA" w:rsidRDefault="005463BD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25F92321" w14:textId="77777777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61C57EEE" w14:textId="32D26BB2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67592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67592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70A35769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D4703" w14:textId="77777777"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7A1F46" w14:textId="2BC23404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9774F8">
        <w:rPr>
          <w:rFonts w:ascii="Times New Roman" w:hAnsi="Times New Roman"/>
          <w:b/>
          <w:sz w:val="24"/>
          <w:szCs w:val="24"/>
        </w:rPr>
        <w:t xml:space="preserve"> JURIDIKE DHE ARKIVIT</w:t>
      </w:r>
    </w:p>
    <w:p w14:paraId="360E8A7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p w14:paraId="419DDE26" w14:textId="77777777" w:rsidR="00C950F2" w:rsidRDefault="00C950F2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950F2" w:rsidSect="009A00A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E374" w14:textId="77777777" w:rsidR="00414D8C" w:rsidRDefault="00414D8C" w:rsidP="00386E9F">
      <w:pPr>
        <w:spacing w:after="0" w:line="240" w:lineRule="auto"/>
      </w:pPr>
      <w:r>
        <w:separator/>
      </w:r>
    </w:p>
  </w:endnote>
  <w:endnote w:type="continuationSeparator" w:id="0">
    <w:p w14:paraId="7D732B5D" w14:textId="77777777" w:rsidR="00414D8C" w:rsidRDefault="00414D8C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8D25" w14:textId="77777777" w:rsidR="00414D8C" w:rsidRDefault="00414D8C" w:rsidP="00386E9F">
      <w:pPr>
        <w:spacing w:after="0" w:line="240" w:lineRule="auto"/>
      </w:pPr>
      <w:r>
        <w:separator/>
      </w:r>
    </w:p>
  </w:footnote>
  <w:footnote w:type="continuationSeparator" w:id="0">
    <w:p w14:paraId="561D75DF" w14:textId="77777777" w:rsidR="00414D8C" w:rsidRDefault="00414D8C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97F"/>
    <w:multiLevelType w:val="multilevel"/>
    <w:tmpl w:val="8B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67C33"/>
    <w:multiLevelType w:val="hybridMultilevel"/>
    <w:tmpl w:val="38CA28F0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839B7"/>
    <w:multiLevelType w:val="hybridMultilevel"/>
    <w:tmpl w:val="0D3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0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624DF"/>
    <w:multiLevelType w:val="hybridMultilevel"/>
    <w:tmpl w:val="918E79F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7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6"/>
  </w:num>
  <w:num w:numId="4" w16cid:durableId="2049600190">
    <w:abstractNumId w:val="19"/>
  </w:num>
  <w:num w:numId="5" w16cid:durableId="1598906998">
    <w:abstractNumId w:val="8"/>
  </w:num>
  <w:num w:numId="6" w16cid:durableId="113058763">
    <w:abstractNumId w:val="11"/>
  </w:num>
  <w:num w:numId="7" w16cid:durableId="1228570257">
    <w:abstractNumId w:val="28"/>
  </w:num>
  <w:num w:numId="8" w16cid:durableId="1945190024">
    <w:abstractNumId w:val="7"/>
  </w:num>
  <w:num w:numId="9" w16cid:durableId="1122185646">
    <w:abstractNumId w:val="24"/>
  </w:num>
  <w:num w:numId="10" w16cid:durableId="527328973">
    <w:abstractNumId w:val="10"/>
  </w:num>
  <w:num w:numId="11" w16cid:durableId="516970879">
    <w:abstractNumId w:val="2"/>
  </w:num>
  <w:num w:numId="12" w16cid:durableId="1020351522">
    <w:abstractNumId w:val="5"/>
  </w:num>
  <w:num w:numId="13" w16cid:durableId="1467309805">
    <w:abstractNumId w:val="20"/>
  </w:num>
  <w:num w:numId="14" w16cid:durableId="951936894">
    <w:abstractNumId w:val="12"/>
  </w:num>
  <w:num w:numId="15" w16cid:durableId="109858822">
    <w:abstractNumId w:val="26"/>
  </w:num>
  <w:num w:numId="16" w16cid:durableId="2032222879">
    <w:abstractNumId w:val="14"/>
  </w:num>
  <w:num w:numId="17" w16cid:durableId="1770394271">
    <w:abstractNumId w:val="32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15"/>
  </w:num>
  <w:num w:numId="21" w16cid:durableId="890312121">
    <w:abstractNumId w:val="34"/>
  </w:num>
  <w:num w:numId="22" w16cid:durableId="926426991">
    <w:abstractNumId w:val="29"/>
  </w:num>
  <w:num w:numId="23" w16cid:durableId="60295049">
    <w:abstractNumId w:val="9"/>
  </w:num>
  <w:num w:numId="24" w16cid:durableId="220285817">
    <w:abstractNumId w:val="25"/>
  </w:num>
  <w:num w:numId="25" w16cid:durableId="1279800814">
    <w:abstractNumId w:val="30"/>
  </w:num>
  <w:num w:numId="26" w16cid:durableId="1129477574">
    <w:abstractNumId w:val="16"/>
  </w:num>
  <w:num w:numId="27" w16cid:durableId="622466258">
    <w:abstractNumId w:val="17"/>
  </w:num>
  <w:num w:numId="28" w16cid:durableId="390613949">
    <w:abstractNumId w:val="33"/>
  </w:num>
  <w:num w:numId="29" w16cid:durableId="91317517">
    <w:abstractNumId w:val="1"/>
  </w:num>
  <w:num w:numId="30" w16cid:durableId="51466313">
    <w:abstractNumId w:val="21"/>
  </w:num>
  <w:num w:numId="31" w16cid:durableId="1253976426">
    <w:abstractNumId w:val="18"/>
  </w:num>
  <w:num w:numId="32" w16cid:durableId="1290940135">
    <w:abstractNumId w:val="23"/>
  </w:num>
  <w:num w:numId="33" w16cid:durableId="1912739147">
    <w:abstractNumId w:val="3"/>
  </w:num>
  <w:num w:numId="34" w16cid:durableId="456728398">
    <w:abstractNumId w:val="22"/>
  </w:num>
  <w:num w:numId="35" w16cid:durableId="789976443">
    <w:abstractNumId w:val="13"/>
  </w:num>
  <w:num w:numId="36" w16cid:durableId="1671449591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468"/>
    <w:rsid w:val="00092BE5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4609"/>
    <w:rsid w:val="00174865"/>
    <w:rsid w:val="0017658D"/>
    <w:rsid w:val="0017737D"/>
    <w:rsid w:val="00183176"/>
    <w:rsid w:val="0018499C"/>
    <w:rsid w:val="00185EF5"/>
    <w:rsid w:val="00191648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3B7"/>
    <w:rsid w:val="001D3B92"/>
    <w:rsid w:val="001D7EB0"/>
    <w:rsid w:val="001E097B"/>
    <w:rsid w:val="001E67E6"/>
    <w:rsid w:val="001F018A"/>
    <w:rsid w:val="001F16CE"/>
    <w:rsid w:val="001F61C0"/>
    <w:rsid w:val="00200967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47FE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2F36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1C49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0E13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4D8C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0F73"/>
    <w:rsid w:val="004814D2"/>
    <w:rsid w:val="00482693"/>
    <w:rsid w:val="00484B1A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90A7B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7742"/>
    <w:rsid w:val="00656427"/>
    <w:rsid w:val="00664A4F"/>
    <w:rsid w:val="00665AD4"/>
    <w:rsid w:val="006749E0"/>
    <w:rsid w:val="00675928"/>
    <w:rsid w:val="00680F12"/>
    <w:rsid w:val="0068687C"/>
    <w:rsid w:val="00692562"/>
    <w:rsid w:val="00693DA2"/>
    <w:rsid w:val="00695068"/>
    <w:rsid w:val="00696FAF"/>
    <w:rsid w:val="006A239A"/>
    <w:rsid w:val="006B3E5C"/>
    <w:rsid w:val="006B3FDB"/>
    <w:rsid w:val="006B57EE"/>
    <w:rsid w:val="006B6673"/>
    <w:rsid w:val="006C307B"/>
    <w:rsid w:val="006C5D60"/>
    <w:rsid w:val="006D21E1"/>
    <w:rsid w:val="006D278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634FA"/>
    <w:rsid w:val="00963898"/>
    <w:rsid w:val="00967495"/>
    <w:rsid w:val="00972E81"/>
    <w:rsid w:val="009774F8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48D1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371C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B1561"/>
    <w:rsid w:val="00BC376D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73080"/>
    <w:rsid w:val="00D80AB6"/>
    <w:rsid w:val="00D84E76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35CD"/>
    <w:rsid w:val="00E3553E"/>
    <w:rsid w:val="00E35B38"/>
    <w:rsid w:val="00E45BF9"/>
    <w:rsid w:val="00E4776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14CEC"/>
    <w:rsid w:val="00F25651"/>
    <w:rsid w:val="00F3086D"/>
    <w:rsid w:val="00F36A8F"/>
    <w:rsid w:val="00F446E3"/>
    <w:rsid w:val="00F62011"/>
    <w:rsid w:val="00F6492D"/>
    <w:rsid w:val="00F65FBF"/>
    <w:rsid w:val="00F714B8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2025-07-21T18:45:00Z</dcterms:created>
  <dcterms:modified xsi:type="dcterms:W3CDTF">2025-09-15T14:23:00Z</dcterms:modified>
</cp:coreProperties>
</file>