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DC23BE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ULET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DC23BE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ULET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581538" w:rsidRPr="00EB1EB4" w:rsidRDefault="00581538" w:rsidP="005815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</w:pP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Lloji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Arsim</w:t>
      </w:r>
      <w:proofErr w:type="spellEnd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="007729E1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Lartë</w:t>
      </w:r>
      <w:proofErr w:type="spellEnd"/>
      <w:r w:rsidRPr="00EB1EB4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”</w:t>
      </w:r>
    </w:p>
    <w:p w:rsidR="002B4A1F" w:rsidRDefault="00581538" w:rsidP="00581538">
      <w:pPr>
        <w:pStyle w:val="NoSpacing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niveli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minimal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i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</w:t>
      </w:r>
      <w:proofErr w:type="spellStart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diplomes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 xml:space="preserve"> “Master </w:t>
      </w:r>
      <w:proofErr w:type="spellStart"/>
      <w:proofErr w:type="gramStart"/>
      <w:r w:rsidR="00AF3F4B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Profesional</w:t>
      </w:r>
      <w:proofErr w:type="spellEnd"/>
      <w:r w:rsidRPr="00CB2613">
        <w:rPr>
          <w:rFonts w:ascii="Times New Roman" w:hAnsi="Times New Roman" w:cs="Times New Roman"/>
          <w:b/>
          <w:sz w:val="30"/>
          <w:szCs w:val="30"/>
          <w:u w:val="single"/>
          <w:lang w:val="en-GB"/>
        </w:rPr>
        <w:t>“</w:t>
      </w:r>
      <w:proofErr w:type="gramEnd"/>
    </w:p>
    <w:p w:rsidR="002B4A1F" w:rsidRPr="00DD6EB4" w:rsidRDefault="002B4A1F" w:rsidP="002B4A1F">
      <w:pPr>
        <w:pStyle w:val="NoSpacing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2B4A1F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 xml:space="preserve">(i ndryshuar), </w:t>
      </w:r>
      <w:r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Nr. 242, datë 18/03/2015, te Keshillit te Ministrave, </w:t>
      </w:r>
      <w:r>
        <w:rPr>
          <w:rFonts w:ascii="Times New Roman" w:hAnsi="Times New Roman"/>
          <w:sz w:val="24"/>
          <w:szCs w:val="24"/>
          <w:lang w:val="it-IT"/>
        </w:rPr>
        <w:t>Bashkia Kukes</w:t>
      </w:r>
      <w:r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Pr="00CC6A36">
        <w:rPr>
          <w:rFonts w:cstheme="minorHAnsi"/>
          <w:sz w:val="24"/>
          <w:szCs w:val="24"/>
          <w:lang w:val="de-DE"/>
        </w:rPr>
        <w:t>:</w:t>
      </w:r>
    </w:p>
    <w:p w:rsidR="002B4A1F" w:rsidRPr="00CC6A36" w:rsidRDefault="002B4A1F" w:rsidP="002B4A1F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="00DC23BE" w:rsidRPr="00DC23BE">
        <w:rPr>
          <w:rFonts w:cs="Calibri"/>
          <w:b/>
          <w:color w:val="000000"/>
          <w:sz w:val="24"/>
          <w:szCs w:val="24"/>
          <w:lang w:val="de-DE"/>
        </w:rPr>
        <w:t>Pergjegjes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 i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cs="Calibri"/>
          <w:b/>
          <w:color w:val="000000"/>
          <w:sz w:val="24"/>
          <w:szCs w:val="24"/>
          <w:lang w:val="de-DE"/>
        </w:rPr>
        <w:t>Sektorit t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>ȅ</w:t>
      </w:r>
      <w:r w:rsidR="007729E1">
        <w:rPr>
          <w:rFonts w:cs="Calibri"/>
          <w:b/>
          <w:color w:val="000000"/>
          <w:sz w:val="24"/>
          <w:szCs w:val="24"/>
          <w:lang w:val="de-DE"/>
        </w:rPr>
        <w:t xml:space="preserve"> Burimeve Njerezore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,</w:t>
      </w:r>
    </w:p>
    <w:p w:rsidR="00A276D2" w:rsidRDefault="00A276D2" w:rsidP="00A276D2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>Pe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rgjegjes i </w:t>
      </w:r>
      <w:r w:rsidR="007729E1" w:rsidRPr="007729E1">
        <w:rPr>
          <w:rFonts w:cs="Calibri"/>
          <w:b/>
          <w:color w:val="000000"/>
          <w:sz w:val="24"/>
          <w:szCs w:val="24"/>
          <w:lang w:val="de-DE"/>
        </w:rPr>
        <w:t xml:space="preserve"> i sektorit tȅ zhvillimit ekonomik vendor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C57FEC"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7729E1" w:rsidRDefault="007729E1" w:rsidP="007729E1">
      <w:pPr>
        <w:widowControl w:val="0"/>
        <w:autoSpaceDE w:val="0"/>
        <w:autoSpaceDN w:val="0"/>
        <w:adjustRightInd w:val="0"/>
        <w:spacing w:after="0" w:line="360" w:lineRule="auto"/>
        <w:ind w:right="68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727D">
        <w:rPr>
          <w:rFonts w:cs="Calibri"/>
          <w:b/>
          <w:color w:val="000000"/>
          <w:sz w:val="24"/>
          <w:szCs w:val="24"/>
          <w:lang w:val="de-DE"/>
        </w:rPr>
        <w:t xml:space="preserve">1 (nje) </w:t>
      </w:r>
      <w:r w:rsidRPr="005F2A29">
        <w:rPr>
          <w:rFonts w:cs="Calibri"/>
          <w:b/>
          <w:color w:val="000000"/>
          <w:sz w:val="24"/>
          <w:szCs w:val="24"/>
          <w:lang w:val="de-DE"/>
        </w:rPr>
        <w:t>Pe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rgjegjes i </w:t>
      </w:r>
      <w:r w:rsidRPr="007729E1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cs="Calibri"/>
          <w:b/>
          <w:color w:val="000000"/>
          <w:sz w:val="24"/>
          <w:szCs w:val="24"/>
          <w:lang w:val="de-DE"/>
        </w:rPr>
        <w:t>i sektorit tȅ</w:t>
      </w:r>
      <w:r w:rsidRPr="007729E1">
        <w:rPr>
          <w:rFonts w:cs="Calibri"/>
          <w:b/>
          <w:color w:val="000000"/>
          <w:sz w:val="24"/>
          <w:szCs w:val="24"/>
          <w:lang w:val="de-DE"/>
        </w:rPr>
        <w:t xml:space="preserve"> statistikave dhe perfomances</w:t>
      </w:r>
      <w:r>
        <w:rPr>
          <w:rFonts w:cs="Calibri"/>
          <w:b/>
          <w:color w:val="000000"/>
          <w:sz w:val="24"/>
          <w:szCs w:val="24"/>
          <w:lang w:val="de-DE"/>
        </w:rPr>
        <w:t xml:space="preserve">; </w:t>
      </w:r>
      <w:r w:rsidRPr="008F727D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Pr="008F727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I-2</w:t>
      </w:r>
    </w:p>
    <w:p w:rsidR="00C827BA" w:rsidRPr="00DD6EB4" w:rsidRDefault="0058153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0B6C2" wp14:editId="282FE77A">
                <wp:simplePos x="0" y="0"/>
                <wp:positionH relativeFrom="column">
                  <wp:posOffset>-9525</wp:posOffset>
                </wp:positionH>
                <wp:positionV relativeFrom="paragraph">
                  <wp:posOffset>180974</wp:posOffset>
                </wp:positionV>
                <wp:extent cx="6501130" cy="752475"/>
                <wp:effectExtent l="0" t="0" r="13970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14.25pt;width:511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A276D2" w:rsidRDefault="00A276D2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:rsidR="00E024E0" w:rsidRDefault="002621E6" w:rsidP="002621E6">
      <w:pPr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A276D2" w:rsidRPr="001D6BB4" w:rsidRDefault="00A276D2" w:rsidP="002621E6">
      <w:pPr>
        <w:jc w:val="center"/>
        <w:rPr>
          <w:rFonts w:cstheme="minorHAnsi"/>
          <w:b/>
          <w:lang w:val="de-DE"/>
        </w:rPr>
      </w:pP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2B4A1F" w:rsidRDefault="002B4A1F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A276D2" w:rsidRDefault="00A276D2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9F3195" w:rsidRDefault="009F3195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lastRenderedPageBreak/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organizative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;</w:t>
      </w:r>
    </w:p>
    <w:p w:rsidR="003035C6" w:rsidRPr="003035C6" w:rsidRDefault="003035C6" w:rsidP="002B4A1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5C6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C6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035C6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Planifikon dhe përmbush detyrat e ngarkuara në mënyrë profesionale dhe të pavarur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27C">
        <w:rPr>
          <w:rFonts w:ascii="Times New Roman" w:hAnsi="Times New Roman" w:cs="Times New Roman"/>
          <w:sz w:val="24"/>
          <w:szCs w:val="24"/>
          <w:lang w:val="sq-AL"/>
        </w:rPr>
        <w:t>Identifikon mundësitë për përmirësimin e mëtejshëm të procedurave dhe teknikave të përdorura në përmbushjen e detyrave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shmangieje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konsiderueshme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ekzistojë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faktik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hAnsi="Times New Roman" w:cs="Times New Roman"/>
          <w:sz w:val="24"/>
          <w:szCs w:val="24"/>
        </w:rPr>
        <w:t>Pergjegjes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27C">
        <w:rPr>
          <w:rFonts w:ascii="Times New Roman" w:hAnsi="Times New Roman" w:cs="Times New Roman"/>
          <w:sz w:val="24"/>
          <w:szCs w:val="24"/>
        </w:rPr>
        <w:t>udhezimeve</w:t>
      </w:r>
      <w:proofErr w:type="spellEnd"/>
      <w:r w:rsidRPr="0084327C">
        <w:rPr>
          <w:rFonts w:ascii="Times New Roman" w:hAnsi="Times New Roman" w:cs="Times New Roman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lidhet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vlerave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monetare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pranimin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evidentimit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korespondencës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pasurisë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Përgjigjet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rregullave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organizimin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brëndshëm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administrative.</w:t>
      </w:r>
    </w:p>
    <w:p w:rsidR="002B4A1F" w:rsidRPr="0084327C" w:rsidRDefault="002B4A1F" w:rsidP="002B4A1F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kordinon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drejtorise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sektorit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specialistëve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punonjësve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nën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autoritetin</w:t>
      </w:r>
      <w:proofErr w:type="spellEnd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4327C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7729E1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AF3F4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C57FEC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E6E" w:rsidRDefault="00246E6E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2B4A1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diplomë të niveli</w:t>
      </w:r>
      <w:r w:rsidR="00EA05F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 “Master </w:t>
      </w:r>
      <w:r w:rsidR="00AF3F4B">
        <w:rPr>
          <w:rFonts w:ascii="Times New Roman" w:hAnsi="Times New Roman" w:cs="Times New Roman"/>
          <w:color w:val="000000"/>
          <w:sz w:val="24"/>
          <w:szCs w:val="24"/>
          <w:lang w:val="it-IT"/>
        </w:rPr>
        <w:t>Profesional</w:t>
      </w:r>
      <w:r w:rsidR="00EA05F8" w:rsidRPr="00AB71EC">
        <w:rPr>
          <w:rFonts w:ascii="Times New Roman" w:hAnsi="Times New Roman" w:cs="Times New Roman"/>
          <w:color w:val="000000"/>
          <w:sz w:val="24"/>
          <w:szCs w:val="24"/>
          <w:lang w:val="it-IT"/>
        </w:rPr>
        <w:t>”</w:t>
      </w:r>
      <w:r w:rsidR="005E5D29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F319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3F4B">
        <w:rPr>
          <w:rFonts w:ascii="Times New Roman" w:hAnsi="Times New Roman" w:cs="Times New Roman"/>
          <w:sz w:val="24"/>
          <w:szCs w:val="24"/>
          <w:lang w:val="it-IT"/>
        </w:rPr>
        <w:t xml:space="preserve">pune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7729E1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P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57FE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57FEC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C57FEC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C57FEC">
        <w:rPr>
          <w:rFonts w:ascii="Times New Roman" w:hAnsi="Times New Roman" w:cs="Times New Roman"/>
          <w:b/>
          <w:sz w:val="24"/>
          <w:szCs w:val="24"/>
        </w:rPr>
        <w:t>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="002B4A1F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2B4A1F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A1F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</w:t>
      </w:r>
      <w:r w:rsidR="00EA05F8">
        <w:rPr>
          <w:rFonts w:ascii="Times New Roman" w:hAnsi="Times New Roman" w:cs="Times New Roman"/>
          <w:sz w:val="24"/>
          <w:szCs w:val="24"/>
          <w:lang w:val="de-DE"/>
        </w:rPr>
        <w:t>pozicionin e punes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C57F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C57F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2A412D"/>
    <w:multiLevelType w:val="hybridMultilevel"/>
    <w:tmpl w:val="9A6E13A2"/>
    <w:lvl w:ilvl="0" w:tplc="81EA8FDE">
      <w:start w:val="1"/>
      <w:numFmt w:val="lowerLetter"/>
      <w:lvlText w:val="%1."/>
      <w:lvlJc w:val="left"/>
      <w:pPr>
        <w:ind w:left="720" w:hanging="360"/>
      </w:pPr>
      <w:rPr>
        <w:rFonts w:ascii="Calibri Light" w:hAnsi="Calibri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42DF8"/>
    <w:multiLevelType w:val="hybridMultilevel"/>
    <w:tmpl w:val="8E2CC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16"/>
  </w:num>
  <w:num w:numId="19">
    <w:abstractNumId w:val="11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46E6E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4A1F"/>
    <w:rsid w:val="002B6AEF"/>
    <w:rsid w:val="002C538B"/>
    <w:rsid w:val="002D0FF5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153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5F2A29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55BE"/>
    <w:rsid w:val="00743489"/>
    <w:rsid w:val="007574E9"/>
    <w:rsid w:val="0076475C"/>
    <w:rsid w:val="007650FD"/>
    <w:rsid w:val="00765140"/>
    <w:rsid w:val="007729E1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9F3195"/>
    <w:rsid w:val="00A04CA2"/>
    <w:rsid w:val="00A1260E"/>
    <w:rsid w:val="00A158DE"/>
    <w:rsid w:val="00A16A5B"/>
    <w:rsid w:val="00A16DF9"/>
    <w:rsid w:val="00A27484"/>
    <w:rsid w:val="00A276D2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B71EC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3F4B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2713"/>
    <w:rsid w:val="00C235A9"/>
    <w:rsid w:val="00C34B1B"/>
    <w:rsid w:val="00C37CEF"/>
    <w:rsid w:val="00C42781"/>
    <w:rsid w:val="00C45936"/>
    <w:rsid w:val="00C45DBB"/>
    <w:rsid w:val="00C5179F"/>
    <w:rsid w:val="00C55180"/>
    <w:rsid w:val="00C57FEC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23BE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A05F8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E717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83D4-D883-4E8C-A8D3-EAD0B169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2</cp:revision>
  <cp:lastPrinted>2021-07-13T12:00:00Z</cp:lastPrinted>
  <dcterms:created xsi:type="dcterms:W3CDTF">2025-06-30T12:11:00Z</dcterms:created>
  <dcterms:modified xsi:type="dcterms:W3CDTF">2025-06-30T12:11:00Z</dcterms:modified>
</cp:coreProperties>
</file>