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8" w:rsidRDefault="00FD32F8" w:rsidP="00FD32F8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FD32F8" w:rsidRDefault="00FD32F8" w:rsidP="00FD32F8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:rsidR="00FD32F8" w:rsidRDefault="00FD32F8" w:rsidP="00FD32F8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D32F8" w:rsidRPr="00DC69F6" w:rsidRDefault="00FD32F8" w:rsidP="00FD32F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rgjegj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s, 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Sektori i Buxhetit</w:t>
      </w:r>
    </w:p>
    <w:p w:rsidR="00FD32F8" w:rsidRPr="00DC69F6" w:rsidRDefault="00FD32F8" w:rsidP="00FD32F8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Kategoria e pagës 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>III-3</w:t>
      </w:r>
      <w:r w:rsidRPr="00DC69F6">
        <w:rPr>
          <w:rFonts w:ascii="Times New Roman" w:hAnsi="Times New Roman"/>
          <w:color w:val="000000" w:themeColor="text1"/>
          <w:sz w:val="24"/>
          <w:szCs w:val="24"/>
          <w:lang w:val="de-DE"/>
        </w:rPr>
        <w:t>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 xml:space="preserve">”, i ndryshuar, si dhe të Kreut II dhe III, të Vendimit Nr. 242, datë 18/03/2015, të Këshillit të Ministrave, </w:t>
      </w:r>
      <w:r w:rsidRPr="00285C99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Bashkia Lushnje </w:t>
      </w:r>
      <w:r>
        <w:rPr>
          <w:rFonts w:ascii="Times New Roman" w:hAnsi="Times New Roman"/>
          <w:sz w:val="24"/>
          <w:szCs w:val="24"/>
          <w:lang w:val="de-DE"/>
        </w:rPr>
        <w:t>shpall procedurat e lëvizjes paralele dhe të ngritjes në detyrë për pozicionin:</w:t>
      </w:r>
    </w:p>
    <w:p w:rsidR="00FD32F8" w:rsidRPr="00DC69F6" w:rsidRDefault="00FD32F8" w:rsidP="00FD32F8">
      <w:pPr>
        <w:pStyle w:val="ListParagraph"/>
        <w:spacing w:after="24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</w:rPr>
        <w:t>rgjegj</w:t>
      </w:r>
      <w:r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C69F6">
        <w:rPr>
          <w:rFonts w:ascii="Times New Roman" w:hAnsi="Times New Roman"/>
          <w:color w:val="000000" w:themeColor="text1"/>
          <w:sz w:val="24"/>
          <w:szCs w:val="24"/>
        </w:rPr>
        <w:t>s</w:t>
      </w:r>
      <w:proofErr w:type="gramStart"/>
      <w:r w:rsidRPr="00DC69F6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>Sektori</w:t>
      </w:r>
      <w:proofErr w:type="spellEnd"/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Buxhetit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, 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Drejtoria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Financës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dhe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Buxhetit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32F8" w:rsidRPr="00DC69F6" w:rsidRDefault="00FD32F8" w:rsidP="00FD32F8">
      <w:pPr>
        <w:pStyle w:val="ListParagraph"/>
        <w:spacing w:after="240"/>
        <w:ind w:left="108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</w:t>
      </w:r>
      <w:proofErr w:type="spellStart"/>
      <w:r w:rsidRPr="00DC69F6">
        <w:rPr>
          <w:rFonts w:ascii="Times New Roman" w:hAnsi="Times New Roman"/>
          <w:color w:val="000000" w:themeColor="text1"/>
          <w:sz w:val="24"/>
          <w:szCs w:val="24"/>
        </w:rPr>
        <w:t>Kategoria</w:t>
      </w:r>
      <w:proofErr w:type="spellEnd"/>
      <w:r w:rsidRPr="00DC69F6">
        <w:rPr>
          <w:rFonts w:ascii="Times New Roman" w:hAnsi="Times New Roman"/>
          <w:color w:val="000000" w:themeColor="text1"/>
          <w:sz w:val="24"/>
          <w:szCs w:val="24"/>
        </w:rPr>
        <w:t xml:space="preserve"> e pages </w:t>
      </w:r>
      <w:r>
        <w:rPr>
          <w:rFonts w:ascii="Times New Roman" w:hAnsi="Times New Roman"/>
          <w:color w:val="000000" w:themeColor="text1"/>
          <w:sz w:val="24"/>
          <w:szCs w:val="24"/>
        </w:rPr>
        <w:t>III-3</w:t>
      </w:r>
      <w:r w:rsidRPr="00DC69F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D32F8" w:rsidRDefault="00FD32F8" w:rsidP="00FD32F8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50"/>
      </w:tblGrid>
      <w:tr w:rsidR="00FD32F8" w:rsidTr="00F716EE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FD32F8" w:rsidRDefault="00FD32F8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Plotësimi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bëhet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dyja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hapura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(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nenit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26/4).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Për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lëvizje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ngritje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FD32F8" w:rsidRDefault="00FD32F8" w:rsidP="00FD32F8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njëjtën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kohë</w:t>
      </w:r>
      <w:proofErr w:type="spellEnd"/>
      <w:r>
        <w:rPr>
          <w:rFonts w:ascii="Times New Roman" w:hAnsi="Times New Roman"/>
          <w:b/>
          <w:sz w:val="24"/>
          <w:szCs w:val="24"/>
        </w:rPr>
        <w:t>!</w:t>
      </w:r>
    </w:p>
    <w:p w:rsidR="00FD32F8" w:rsidRDefault="00FD32F8" w:rsidP="00FD32F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94"/>
        <w:gridCol w:w="3646"/>
      </w:tblGrid>
      <w:tr w:rsidR="00FD32F8" w:rsidTr="00F716EE"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FD32F8" w:rsidRDefault="00FD32F8" w:rsidP="00F716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Afati për dorëzimin e Dokumenteve:25.06.2025</w:t>
            </w:r>
          </w:p>
          <w:p w:rsidR="00FD32F8" w:rsidRDefault="00FD32F8" w:rsidP="00F716EE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de-DE"/>
              </w:rPr>
            </w:pP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32F8" w:rsidRDefault="00FD32F8" w:rsidP="00F716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</w:p>
    <w:p w:rsidR="00FD32F8" w:rsidRDefault="00FD32F8" w:rsidP="00FD32F8">
      <w:pPr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FD32F8" w:rsidTr="00F716EE">
        <w:trPr>
          <w:trHeight w:val="517"/>
        </w:trPr>
        <w:tc>
          <w:tcPr>
            <w:tcW w:w="9855" w:type="dxa"/>
            <w:shd w:val="clear" w:color="auto" w:fill="C00000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</w:p>
        </w:tc>
      </w:tr>
      <w:tr w:rsidR="00FD32F8" w:rsidTr="00F716EE">
        <w:tc>
          <w:tcPr>
            <w:tcW w:w="9855" w:type="dxa"/>
          </w:tcPr>
          <w:p w:rsidR="00FD32F8" w:rsidRDefault="00FD32F8" w:rsidP="00F716E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2F8" w:rsidRDefault="00FD32F8" w:rsidP="00F716EE">
            <w:pPr>
              <w:tabs>
                <w:tab w:val="left" w:pos="0"/>
              </w:tabs>
              <w:spacing w:after="0" w:line="240" w:lineRule="auto"/>
              <w:ind w:left="-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Përgatit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përpunon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dhëna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pë</w:t>
            </w:r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r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hartimin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e plan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buxhetit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vjetor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,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harton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buxhetin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vjet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or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proofErr w:type="gram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dorezon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Drejtorisë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miratim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dokumentacionin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shoqerues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sipas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akteve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ligjore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.</w:t>
            </w: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Ndjek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zbatimin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buxhtit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në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nivel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plani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buxhetor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limiti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mujor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me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de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gen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thesarit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, pas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miratimit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kë</w:t>
            </w:r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shillin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bashkiak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dh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konfirmimit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prefektures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.</w:t>
            </w: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Dergon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agjensitë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buxhetin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perkates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seciles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( me email)</w:t>
            </w: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Shqyrton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ndryshimet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buxhet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drejtorive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agjencive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të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Bashkise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dhe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i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p</w:t>
            </w:r>
            <w:r>
              <w:rPr>
                <w:rFonts w:ascii="Times New Roman" w:eastAsia="Courier New" w:hAnsi="Times New Roman"/>
                <w:sz w:val="24"/>
                <w:szCs w:val="24"/>
              </w:rPr>
              <w:t>araqet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tek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sz w:val="24"/>
                <w:szCs w:val="24"/>
              </w:rPr>
              <w:t>Drejtorisë</w:t>
            </w:r>
            <w:proofErr w:type="spellEnd"/>
            <w:r w:rsidRPr="006A6934">
              <w:rPr>
                <w:rFonts w:ascii="Times New Roman" w:eastAsia="Courier New" w:hAnsi="Times New Roman"/>
                <w:sz w:val="24"/>
                <w:szCs w:val="24"/>
              </w:rPr>
              <w:t>.</w:t>
            </w: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Harton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ta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monitorimit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uxhetit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akteve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ligjore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fuqi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dërgon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miratim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drejtorit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drejtorisë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Ndjekt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hapat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</w:t>
            </w:r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rgatitjen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e project-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buxhetit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afatmesem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akteve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ligjore</w:t>
            </w:r>
            <w:proofErr w:type="spellEnd"/>
          </w:p>
          <w:p w:rsidR="00FD32F8" w:rsidRPr="006A6934" w:rsidRDefault="00FD32F8" w:rsidP="00FD32F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spacing w:after="0"/>
              <w:jc w:val="both"/>
              <w:rPr>
                <w:rFonts w:ascii="Times New Roman" w:eastAsia="Courier New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</w:t>
            </w:r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rgat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relacionin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sqarues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analize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realizimit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hpenzimeve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buxhetore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tabelat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monitorimit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buxhetit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çdo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4-mujor,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pë</w:t>
            </w:r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PBA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buxhetin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vjetor</w:t>
            </w:r>
            <w:proofErr w:type="spellEnd"/>
            <w:r w:rsidRPr="006A693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  <w:p w:rsidR="00FD32F8" w:rsidRDefault="00FD32F8" w:rsidP="00FD32F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4"/>
        <w:gridCol w:w="8571"/>
      </w:tblGrid>
      <w:tr w:rsidR="00FD32F8" w:rsidTr="00F716EE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vetëm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civilë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insitucionet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FD32F8" w:rsidRDefault="00FD32F8" w:rsidP="00FD32F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jenë nëpunës civil të konfirmuar, brenda së njëjtës kategori ;</w:t>
      </w:r>
    </w:p>
    <w:p w:rsidR="00FD32F8" w:rsidRDefault="00FD32F8" w:rsidP="00FD32F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:rsidR="00FD32F8" w:rsidRDefault="00FD32F8" w:rsidP="00FD32F8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:rsidR="00FD32F8" w:rsidRDefault="00FD32F8" w:rsidP="00FD32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>Të zotërojnë diplomë të nivelit “Bachelor”,“</w:t>
      </w:r>
      <w:r w:rsidRPr="00813EF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7DCC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Pr="00A77D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7DCC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Pr="00A77DCC">
        <w:rPr>
          <w:rFonts w:ascii="Times New Roman" w:hAnsi="Times New Roman"/>
          <w:color w:val="000000"/>
          <w:sz w:val="24"/>
          <w:szCs w:val="24"/>
        </w:rPr>
        <w:t>”</w:t>
      </w:r>
      <w:r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>
        <w:rPr>
          <w:rFonts w:ascii="Times New Roman" w:hAnsi="Times New Roman"/>
          <w:sz w:val="24"/>
          <w:szCs w:val="24"/>
          <w:lang w:val="sq-AL"/>
        </w:rPr>
        <w:t xml:space="preserve">gjatje normale 2 vite akademike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” , në degën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 „Ekonomik/Inxhinieri Matematike“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, edhe diploma e nivelit “Bachelor” duhet të jetë në të njëjtën fushë.</w:t>
      </w:r>
      <w:r>
        <w:rPr>
          <w:rFonts w:ascii="Times New Roman" w:hAnsi="Times New Roman"/>
          <w:sz w:val="24"/>
          <w:szCs w:val="24"/>
          <w:lang w:val="de-DE"/>
        </w:rPr>
        <w:t>(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Diplomat të cilat janë marrë jashtë vendit,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duhet të jenë të njohura paraprakisht pranë institucionit përgjegjës për njehsimin e diplomave sipas legjislacionit në fuqi).</w:t>
      </w:r>
    </w:p>
    <w:p w:rsidR="00FD32F8" w:rsidRPr="00813EF2" w:rsidRDefault="00FD32F8" w:rsidP="00FD32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se 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2-</w:t>
      </w: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>3</w:t>
      </w:r>
      <w:r w:rsidRPr="00813EF2">
        <w:rPr>
          <w:rFonts w:ascii="Times New Roman" w:hAnsi="Times New Roman"/>
          <w:color w:val="FF0000"/>
          <w:sz w:val="24"/>
          <w:szCs w:val="24"/>
          <w:lang w:val="de-DE"/>
        </w:rPr>
        <w:t xml:space="preserve"> </w:t>
      </w:r>
      <w:r w:rsidRPr="00813EF2">
        <w:rPr>
          <w:rFonts w:ascii="Times New Roman" w:hAnsi="Times New Roman"/>
          <w:color w:val="000000" w:themeColor="text1"/>
          <w:sz w:val="24"/>
          <w:szCs w:val="24"/>
          <w:lang w:val="de-DE"/>
        </w:rPr>
        <w:t>vite</w:t>
      </w: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 xml:space="preserve">, </w:t>
      </w:r>
      <w:r w:rsidRPr="00813EF2">
        <w:rPr>
          <w:rFonts w:ascii="Times New Roman" w:hAnsi="Times New Roman"/>
          <w:sz w:val="24"/>
          <w:szCs w:val="24"/>
          <w:lang w:val="de-DE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D32F8" w:rsidRPr="00813EF2" w:rsidRDefault="00FD32F8" w:rsidP="00FD32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813EF2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FD32F8" w:rsidRPr="00813EF2" w:rsidRDefault="00FD32F8" w:rsidP="00FD32F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FD32F8" w:rsidRDefault="00FD32F8" w:rsidP="00FD32F8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pStyle w:val="ListParagraph"/>
        <w:ind w:left="360"/>
        <w:jc w:val="both"/>
        <w:rPr>
          <w:rFonts w:ascii="Times New Roman" w:hAnsi="Times New Roman"/>
          <w:color w:val="00B050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D32F8" w:rsidRDefault="00FD32F8" w:rsidP="00FD32F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5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:rsidR="00FD32F8" w:rsidRDefault="00FD32F8" w:rsidP="00FD32F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:rsidR="00FD32F8" w:rsidRDefault="00FD32F8" w:rsidP="00FD32F8">
      <w:pPr>
        <w:pStyle w:val="ListParagraph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 25.06.2025.</w:t>
      </w:r>
    </w:p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27.06.2025, 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813EF2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Bashkisë Lushnje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Pr="00813EF2">
        <w:rPr>
          <w:rFonts w:ascii="Times New Roman" w:hAnsi="Times New Roman"/>
          <w:i/>
          <w:sz w:val="24"/>
          <w:szCs w:val="24"/>
          <w:lang w:val="de-DE"/>
        </w:rPr>
        <w:t>Agjencia Kombëtare e Punësimit dhe Aftësive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e lëvizjes paralele dhe kriteret e veçanta, si dhe datën, vendin dhe orën e saktë ku do të zhvillohet intervista. 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njësia e menaxhimit të burimeve njerëzore të institucionit ku </w:t>
      </w:r>
      <w:r>
        <w:rPr>
          <w:rFonts w:ascii="Times New Roman" w:hAnsi="Times New Roman"/>
          <w:sz w:val="24"/>
          <w:szCs w:val="24"/>
          <w:lang w:val="de-DE"/>
        </w:rPr>
        <w:lastRenderedPageBreak/>
        <w:t xml:space="preserve">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FD32F8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FD32F8" w:rsidRPr="00060171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86640">
        <w:rPr>
          <w:rFonts w:ascii="Times New Roman" w:hAnsi="Times New Roman"/>
          <w:sz w:val="24"/>
          <w:szCs w:val="24"/>
          <w:lang w:val="sq-AL"/>
        </w:rPr>
        <w:t>Njohurite mbi Ligjin Nr.139/2015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086640">
        <w:rPr>
          <w:rFonts w:ascii="Times New Roman" w:hAnsi="Times New Roman"/>
          <w:i/>
          <w:sz w:val="24"/>
          <w:szCs w:val="24"/>
          <w:lang w:val="sq-AL"/>
        </w:rPr>
        <w:t>r veteqeverisjen vendore</w:t>
      </w:r>
      <w:r>
        <w:rPr>
          <w:rFonts w:ascii="Times New Roman" w:hAnsi="Times New Roman"/>
          <w:i/>
          <w:sz w:val="24"/>
          <w:szCs w:val="24"/>
          <w:lang w:val="sq-AL"/>
        </w:rPr>
        <w:t>”</w:t>
      </w:r>
    </w:p>
    <w:p w:rsidR="00FD32F8" w:rsidRPr="003E04A9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60171">
        <w:rPr>
          <w:rFonts w:ascii="Times New Roman" w:hAnsi="Times New Roman"/>
          <w:sz w:val="24"/>
          <w:szCs w:val="24"/>
          <w:lang w:val="sq-AL"/>
        </w:rPr>
        <w:t>Njohurite mbi Ligjin Nr.68/2017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“Për financat ne veteqeverisjen vendore”</w:t>
      </w:r>
    </w:p>
    <w:p w:rsidR="00FD32F8" w:rsidRPr="003E04A9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3E04A9">
        <w:rPr>
          <w:rFonts w:ascii="Times New Roman" w:hAnsi="Times New Roman"/>
          <w:sz w:val="24"/>
          <w:szCs w:val="24"/>
          <w:lang w:val="sq-AL"/>
        </w:rPr>
        <w:t>Njohuri mbi Ligjin Nr.10296 date 8.7.2010,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3E04A9">
        <w:rPr>
          <w:rFonts w:ascii="Times New Roman" w:hAnsi="Times New Roman"/>
          <w:i/>
          <w:sz w:val="24"/>
          <w:szCs w:val="24"/>
          <w:lang w:val="sq-AL"/>
        </w:rPr>
        <w:t>r Menaxhimin Financiar dhe Kontrollin</w:t>
      </w:r>
      <w:r w:rsidRPr="003E04A9">
        <w:rPr>
          <w:rFonts w:ascii="Times New Roman" w:hAnsi="Times New Roman"/>
          <w:sz w:val="24"/>
          <w:szCs w:val="24"/>
          <w:lang w:val="sq-AL"/>
        </w:rPr>
        <w:t>”</w:t>
      </w:r>
    </w:p>
    <w:p w:rsidR="00FD32F8" w:rsidRPr="00FD32F8" w:rsidRDefault="00FD32F8" w:rsidP="00FD32F8">
      <w:pPr>
        <w:pStyle w:val="ListParagraph"/>
        <w:numPr>
          <w:ilvl w:val="0"/>
          <w:numId w:val="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3E04A9">
        <w:rPr>
          <w:rFonts w:ascii="Times New Roman" w:hAnsi="Times New Roman"/>
          <w:sz w:val="24"/>
          <w:szCs w:val="24"/>
          <w:lang w:val="sq-AL"/>
        </w:rPr>
        <w:t>Njohuri mbi Ligjin Nr.9936 date 26.06.2008,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3E04A9">
        <w:rPr>
          <w:rFonts w:ascii="Times New Roman" w:hAnsi="Times New Roman"/>
          <w:i/>
          <w:sz w:val="24"/>
          <w:szCs w:val="24"/>
          <w:lang w:val="sq-AL"/>
        </w:rPr>
        <w:t>r Menaxhimin e Sistemit Buxhetor ne   Republiken e Shqiperise</w:t>
      </w:r>
      <w:r w:rsidRPr="003E04A9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FD32F8" w:rsidRPr="00813EF2" w:rsidRDefault="00FD32F8" w:rsidP="00FD32F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FD32F8" w:rsidRDefault="00FD32F8" w:rsidP="00FD32F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:rsidR="00FD32F8" w:rsidRDefault="00FD32F8" w:rsidP="00FD32F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Për proçesin e plotësimit të vendeve të lira në shërbimin civil nëpërmjet procedures së lëvizjes paralele, ngritjes në detyrë për kategorinë e mesme dhe të ulët drejtuese dhe pranimin në </w:t>
      </w:r>
      <w:r>
        <w:rPr>
          <w:rFonts w:ascii="Times New Roman" w:hAnsi="Times New Roman"/>
          <w:i/>
          <w:sz w:val="24"/>
          <w:szCs w:val="24"/>
          <w:lang w:val="de-DE"/>
        </w:rPr>
        <w:lastRenderedPageBreak/>
        <w:t>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r>
        <w:rPr>
          <w:rStyle w:val="Hyperlink"/>
          <w:sz w:val="24"/>
          <w:szCs w:val="24"/>
          <w:lang w:val="de-DE"/>
        </w:rPr>
        <w:fldChar w:fldCharType="begin"/>
      </w:r>
      <w:r>
        <w:rPr>
          <w:rStyle w:val="Hyperlink"/>
          <w:sz w:val="24"/>
          <w:szCs w:val="24"/>
          <w:lang w:val="de-DE"/>
        </w:rPr>
        <w:instrText xml:space="preserve"> HYPERLINK "http://</w:instrText>
      </w:r>
      <w:r w:rsidRPr="00FD32F8">
        <w:rPr>
          <w:rStyle w:val="Hyperlink"/>
          <w:sz w:val="24"/>
          <w:szCs w:val="24"/>
          <w:lang w:val="de-DE"/>
        </w:rPr>
        <w:instrText>www.dap.gov.al</w:instrText>
      </w:r>
      <w:r>
        <w:rPr>
          <w:rStyle w:val="Hyperlink"/>
          <w:sz w:val="24"/>
          <w:szCs w:val="24"/>
          <w:lang w:val="de-DE"/>
        </w:rPr>
        <w:instrText xml:space="preserve">" </w:instrText>
      </w:r>
      <w:r>
        <w:rPr>
          <w:rStyle w:val="Hyperlink"/>
          <w:sz w:val="24"/>
          <w:szCs w:val="24"/>
          <w:lang w:val="de-DE"/>
        </w:rPr>
        <w:fldChar w:fldCharType="separate"/>
      </w:r>
      <w:r w:rsidRPr="00696DA6">
        <w:rPr>
          <w:rStyle w:val="Hyperlink"/>
          <w:sz w:val="24"/>
          <w:szCs w:val="24"/>
          <w:lang w:val="de-DE"/>
        </w:rPr>
        <w:t>www.dap.gov.al</w:t>
      </w:r>
      <w:r>
        <w:rPr>
          <w:rStyle w:val="Hyperlink"/>
          <w:sz w:val="24"/>
          <w:szCs w:val="24"/>
          <w:lang w:val="de-DE"/>
        </w:rPr>
        <w:fldChar w:fldCharType="end"/>
      </w:r>
      <w:r>
        <w:rPr>
          <w:rFonts w:ascii="Times New Roman" w:hAnsi="Times New Roman"/>
          <w:sz w:val="24"/>
          <w:szCs w:val="24"/>
          <w:lang w:val="de-DE"/>
        </w:rPr>
        <w:t>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hyperlink r:id="rId6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:rsidR="00FD32F8" w:rsidRDefault="00FD32F8" w:rsidP="00FD32F8">
      <w:pPr>
        <w:jc w:val="both"/>
        <w:rPr>
          <w:rStyle w:val="Hyperlink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D32F8" w:rsidRDefault="00FD32F8" w:rsidP="00FD32F8">
      <w:pPr>
        <w:jc w:val="both"/>
        <w:rPr>
          <w:rStyle w:val="Hyperlink"/>
          <w:sz w:val="24"/>
          <w:szCs w:val="24"/>
        </w:rPr>
      </w:pPr>
    </w:p>
    <w:p w:rsidR="00FD32F8" w:rsidRPr="00813EF2" w:rsidRDefault="00FD32F8" w:rsidP="00FD32F8">
      <w:pPr>
        <w:jc w:val="both"/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Komisioneri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Mbikëqyrjen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Shërbimit</w:t>
      </w:r>
      <w:proofErr w:type="spellEnd"/>
      <w:r>
        <w:rPr>
          <w:rFonts w:ascii="Times New Roman" w:hAnsi="Times New Roman"/>
          <w:sz w:val="24"/>
          <w:szCs w:val="24"/>
        </w:rPr>
        <w:t xml:space="preserve"> Civil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813EF2">
        <w:rPr>
          <w:rFonts w:ascii="Times New Roman" w:hAnsi="Times New Roman"/>
          <w:i/>
          <w:sz w:val="24"/>
          <w:szCs w:val="24"/>
        </w:rPr>
        <w:t>Agjencia</w:t>
      </w:r>
      <w:proofErr w:type="spellEnd"/>
      <w:r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3EF2">
        <w:rPr>
          <w:rFonts w:ascii="Times New Roman" w:hAnsi="Times New Roman"/>
          <w:i/>
          <w:sz w:val="24"/>
          <w:szCs w:val="24"/>
        </w:rPr>
        <w:t>Kombëtare</w:t>
      </w:r>
      <w:proofErr w:type="spellEnd"/>
      <w:r w:rsidRPr="00813EF2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813EF2">
        <w:rPr>
          <w:rFonts w:ascii="Times New Roman" w:hAnsi="Times New Roman"/>
          <w:i/>
          <w:sz w:val="24"/>
          <w:szCs w:val="24"/>
        </w:rPr>
        <w:t>Punësimit</w:t>
      </w:r>
      <w:proofErr w:type="spellEnd"/>
      <w:r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3EF2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813EF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13EF2">
        <w:rPr>
          <w:rFonts w:ascii="Times New Roman" w:hAnsi="Times New Roman"/>
          <w:i/>
          <w:sz w:val="24"/>
          <w:szCs w:val="24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85"/>
        <w:gridCol w:w="8570"/>
      </w:tblGrid>
      <w:tr w:rsidR="00FD32F8" w:rsidTr="00F716EE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FD32F8" w:rsidRDefault="00FD32F8" w:rsidP="00FD32F8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340"/>
      </w:tblGrid>
      <w:tr w:rsidR="00FD32F8" w:rsidTr="00F716EE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ai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vlefshëm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ngritjes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detyrë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</w:p>
          <w:p w:rsidR="00FD32F8" w:rsidRDefault="00FD32F8" w:rsidP="00F716E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Kjo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vendosur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hapur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kandidatë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jasht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rbimit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civil,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plotësojnë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kushtet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kërkesat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e lire </w:t>
            </w:r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zbatim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vendimit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titullarit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por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q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mund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kaloj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20%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numrit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total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vendeve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cdo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kalendarik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>neni</w:t>
            </w:r>
            <w:proofErr w:type="spellEnd"/>
            <w:r>
              <w:rPr>
                <w:rFonts w:ascii="Times New Roman" w:hAnsi="Times New Roman"/>
                <w:i/>
                <w:color w:val="44546A" w:themeColor="text2"/>
                <w:sz w:val="24"/>
                <w:szCs w:val="24"/>
              </w:rPr>
              <w:t xml:space="preserve"> 26/4)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. 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ngritjes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detyrë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FD32F8" w:rsidRDefault="00FD32F8" w:rsidP="00FD32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FD32F8" w:rsidRDefault="00FD32F8" w:rsidP="00FD32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paktën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mirë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:rsidR="00FD32F8" w:rsidRDefault="00FD32F8" w:rsidP="00FD32F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Profesional</w:t>
      </w:r>
      <w:proofErr w:type="spellEnd"/>
      <w:r>
        <w:rPr>
          <w:rFonts w:ascii="Times New Roman" w:hAnsi="Times New Roman"/>
          <w:sz w:val="24"/>
          <w:szCs w:val="24"/>
        </w:rPr>
        <w:t>”. (</w:t>
      </w:r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FD32F8" w:rsidRDefault="00FD32F8" w:rsidP="00FD32F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D32F8" w:rsidRDefault="00FD32F8" w:rsidP="00FD32F8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zotërojnë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diplomë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Bachelor”ose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“Master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Shkencor</w:t>
      </w:r>
      <w:proofErr w:type="spellEnd"/>
      <w:r w:rsidRPr="00AD3FA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7DCC">
        <w:rPr>
          <w:rFonts w:ascii="Times New Roman" w:hAnsi="Times New Roman"/>
          <w:color w:val="000000"/>
          <w:sz w:val="24"/>
          <w:szCs w:val="24"/>
        </w:rPr>
        <w:t>apo</w:t>
      </w:r>
      <w:proofErr w:type="spellEnd"/>
      <w:r w:rsidRPr="00A77D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7DCC">
        <w:rPr>
          <w:rFonts w:ascii="Times New Roman" w:hAnsi="Times New Roman"/>
          <w:color w:val="000000"/>
          <w:sz w:val="24"/>
          <w:szCs w:val="24"/>
        </w:rPr>
        <w:t>Profesional</w:t>
      </w:r>
      <w:proofErr w:type="spellEnd"/>
      <w:r w:rsidRPr="00A77DCC">
        <w:rPr>
          <w:rFonts w:ascii="Times New Roman" w:hAnsi="Times New Roman"/>
          <w:color w:val="000000"/>
          <w:sz w:val="24"/>
          <w:szCs w:val="24"/>
        </w:rPr>
        <w:t>”</w:t>
      </w:r>
      <w:r w:rsidRPr="00A77DCC">
        <w:rPr>
          <w:rFonts w:ascii="Times New Roman" w:hAnsi="Times New Roman"/>
          <w:sz w:val="24"/>
          <w:szCs w:val="24"/>
          <w:lang w:val="sq-AL"/>
        </w:rPr>
        <w:t xml:space="preserve"> të përfituar në fund të studimeve të ciklit të dytë me 120 kredite dhe me kohëz</w:t>
      </w:r>
      <w:r>
        <w:rPr>
          <w:rFonts w:ascii="Times New Roman" w:hAnsi="Times New Roman"/>
          <w:sz w:val="24"/>
          <w:szCs w:val="24"/>
          <w:lang w:val="sq-AL"/>
        </w:rPr>
        <w:t>gjatje normale 2 vite akademike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degën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Juridik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diploma 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nivelit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“Bachelor”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jetë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njëjtën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fushë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cilat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marrë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jashtë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jenë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njohura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paraprakisht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përgjegjës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njehsimin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diplomave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sipas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fuqi</w:t>
      </w:r>
      <w:proofErr w:type="spellEnd"/>
      <w:r>
        <w:rPr>
          <w:rFonts w:ascii="Times New Roman" w:hAnsi="Times New Roman"/>
          <w:i/>
          <w:sz w:val="24"/>
          <w:szCs w:val="24"/>
        </w:rPr>
        <w:t>).</w:t>
      </w:r>
    </w:p>
    <w:p w:rsidR="00FD32F8" w:rsidRPr="00154F44" w:rsidRDefault="00FD32F8" w:rsidP="00FD32F8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jo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më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pak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se </w:t>
      </w:r>
      <w:r>
        <w:rPr>
          <w:rFonts w:ascii="Times New Roman" w:hAnsi="Times New Roman"/>
          <w:color w:val="000000" w:themeColor="text1"/>
          <w:sz w:val="24"/>
          <w:szCs w:val="24"/>
        </w:rPr>
        <w:t>2-</w:t>
      </w:r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3 </w:t>
      </w:r>
      <w:proofErr w:type="spellStart"/>
      <w:r w:rsidRPr="00154F44">
        <w:rPr>
          <w:rFonts w:ascii="Times New Roman" w:hAnsi="Times New Roman"/>
          <w:color w:val="000000" w:themeColor="text1"/>
          <w:sz w:val="24"/>
          <w:szCs w:val="24"/>
        </w:rPr>
        <w:t>vite</w:t>
      </w:r>
      <w:proofErr w:type="gramStart"/>
      <w:r w:rsidRPr="00154F44">
        <w:rPr>
          <w:rFonts w:ascii="Times New Roman" w:hAnsi="Times New Roman"/>
          <w:color w:val="FF0000"/>
          <w:sz w:val="24"/>
          <w:szCs w:val="24"/>
        </w:rPr>
        <w:t>,</w:t>
      </w:r>
      <w:r w:rsidRPr="00154F44">
        <w:rPr>
          <w:rFonts w:ascii="Times New Roman" w:hAnsi="Times New Roman"/>
          <w:sz w:val="24"/>
          <w:szCs w:val="24"/>
        </w:rPr>
        <w:t>në</w:t>
      </w:r>
      <w:proofErr w:type="spellEnd"/>
      <w:proofErr w:type="gram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administratën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shtetërore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dhe</w:t>
      </w:r>
      <w:proofErr w:type="spellEnd"/>
      <w:r w:rsidRPr="00154F44">
        <w:rPr>
          <w:rFonts w:ascii="Times New Roman" w:hAnsi="Times New Roman"/>
          <w:sz w:val="24"/>
          <w:szCs w:val="24"/>
        </w:rPr>
        <w:t>/</w:t>
      </w:r>
      <w:proofErr w:type="spellStart"/>
      <w:r w:rsidRPr="00154F44">
        <w:rPr>
          <w:rFonts w:ascii="Times New Roman" w:hAnsi="Times New Roman"/>
          <w:sz w:val="24"/>
          <w:szCs w:val="24"/>
        </w:rPr>
        <w:t>ose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institucione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sz w:val="24"/>
          <w:szCs w:val="24"/>
        </w:rPr>
        <w:t>pavarura</w:t>
      </w:r>
      <w:proofErr w:type="spellEnd"/>
      <w:r w:rsidRPr="00154F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</w:p>
    <w:p w:rsidR="00FD32F8" w:rsidRPr="00154F44" w:rsidRDefault="00FD32F8" w:rsidP="00FD32F8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 w:rsidRPr="00154F44">
        <w:rPr>
          <w:rFonts w:ascii="Times New Roman" w:hAnsi="Times New Roman"/>
          <w:color w:val="000000"/>
          <w:sz w:val="24"/>
          <w:szCs w:val="24"/>
        </w:rPr>
        <w:t>.</w:t>
      </w:r>
    </w:p>
    <w:p w:rsidR="00FD32F8" w:rsidRDefault="00FD32F8" w:rsidP="00FD32F8">
      <w:pPr>
        <w:pStyle w:val="ListParagraph"/>
        <w:numPr>
          <w:ilvl w:val="0"/>
          <w:numId w:val="3"/>
        </w:num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angleze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Përparësi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dytë</w:t>
      </w:r>
      <w:proofErr w:type="spellEnd"/>
      <w:r>
        <w:rPr>
          <w:rFonts w:ascii="Times New Roman" w:hAnsi="Times New Roman"/>
          <w:sz w:val="24"/>
          <w:szCs w:val="24"/>
        </w:rPr>
        <w:t xml:space="preserve"> e BE-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FD32F8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D32F8" w:rsidRDefault="00FD32F8" w:rsidP="00FD32F8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FD32F8" w:rsidRDefault="00FD32F8" w:rsidP="00FD32F8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FD32F8" w:rsidRDefault="00FD32F8" w:rsidP="00FD32F8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në institucion, brenda datës25.06.2025, në Institucionin Bashkia Lushnje.</w:t>
      </w:r>
    </w:p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Pr="00154F44">
        <w:rPr>
          <w:rFonts w:ascii="Times New Roman" w:hAnsi="Times New Roman"/>
          <w:color w:val="000000" w:themeColor="text1"/>
          <w:sz w:val="24"/>
          <w:szCs w:val="24"/>
          <w:lang w:val="de-DE"/>
        </w:rPr>
        <w:t>30.06.2025</w:t>
      </w:r>
      <w:r>
        <w:rPr>
          <w:rFonts w:ascii="Times New Roman" w:hAnsi="Times New Roman"/>
          <w:color w:val="FF0000"/>
          <w:sz w:val="24"/>
          <w:szCs w:val="24"/>
          <w:lang w:val="de-DE"/>
        </w:rPr>
        <w:t>.</w:t>
      </w:r>
      <w:r>
        <w:rPr>
          <w:rFonts w:ascii="Times New Roman" w:hAnsi="Times New Roman"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njësia e menaxhimit të burimeve njerëzore të </w:t>
      </w:r>
      <w:r w:rsidRPr="00154F44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Bashkisë Lushnje </w:t>
      </w:r>
      <w:r>
        <w:rPr>
          <w:rFonts w:ascii="Times New Roman" w:hAnsi="Times New Roman"/>
          <w:sz w:val="24"/>
          <w:szCs w:val="24"/>
          <w:lang w:val="de-DE"/>
        </w:rPr>
        <w:t>ku ndodhet pozicioni për të cilin ju dëshironi të aplikoni do të shpallë në portalin “</w:t>
      </w:r>
      <w:r w:rsidRPr="00154F44">
        <w:rPr>
          <w:rFonts w:ascii="Times New Roman" w:hAnsi="Times New Roman"/>
          <w:i/>
          <w:sz w:val="24"/>
          <w:szCs w:val="24"/>
          <w:lang w:val="de-DE"/>
        </w:rPr>
        <w:t xml:space="preserve">Agjencia Kombëtar e </w:t>
      </w:r>
      <w:r w:rsidRPr="00154F44">
        <w:rPr>
          <w:rFonts w:ascii="Times New Roman" w:hAnsi="Times New Roman"/>
          <w:i/>
          <w:sz w:val="24"/>
          <w:szCs w:val="24"/>
          <w:lang w:val="de-DE"/>
        </w:rPr>
        <w:lastRenderedPageBreak/>
        <w:t>Punësimit dhe Aftësive</w:t>
      </w:r>
      <w:r>
        <w:rPr>
          <w:rFonts w:ascii="Times New Roman" w:hAnsi="Times New Roman"/>
          <w:sz w:val="24"/>
          <w:szCs w:val="24"/>
          <w:lang w:val="de-DE"/>
        </w:rPr>
        <w:t xml:space="preserve">” listën e kandidatëve që plotësojnë kushtet dhe kriteret e veçanta, si dhe datën, vendin dhe orën e saktë ku do të zhvillohet intervista. 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FD32F8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FD32F8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FD32F8" w:rsidRPr="00060171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86640">
        <w:rPr>
          <w:rFonts w:ascii="Times New Roman" w:hAnsi="Times New Roman"/>
          <w:sz w:val="24"/>
          <w:szCs w:val="24"/>
          <w:lang w:val="sq-AL"/>
        </w:rPr>
        <w:t>Njohurite mbi Ligjin Nr.139/2015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086640">
        <w:rPr>
          <w:rFonts w:ascii="Times New Roman" w:hAnsi="Times New Roman"/>
          <w:i/>
          <w:sz w:val="24"/>
          <w:szCs w:val="24"/>
          <w:lang w:val="sq-AL"/>
        </w:rPr>
        <w:t>r veteqeverisjen vendore</w:t>
      </w:r>
      <w:r>
        <w:rPr>
          <w:rFonts w:ascii="Times New Roman" w:hAnsi="Times New Roman"/>
          <w:i/>
          <w:sz w:val="24"/>
          <w:szCs w:val="24"/>
          <w:lang w:val="sq-AL"/>
        </w:rPr>
        <w:t>”</w:t>
      </w:r>
    </w:p>
    <w:p w:rsidR="00FD32F8" w:rsidRPr="003E04A9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60171">
        <w:rPr>
          <w:rFonts w:ascii="Times New Roman" w:hAnsi="Times New Roman"/>
          <w:sz w:val="24"/>
          <w:szCs w:val="24"/>
          <w:lang w:val="sq-AL"/>
        </w:rPr>
        <w:t>Njohurite mbi Ligjin Nr.68/2017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“Për financat ne veteqeverisjen vendore”</w:t>
      </w:r>
    </w:p>
    <w:p w:rsidR="00FD32F8" w:rsidRPr="003E04A9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3E04A9">
        <w:rPr>
          <w:rFonts w:ascii="Times New Roman" w:hAnsi="Times New Roman"/>
          <w:sz w:val="24"/>
          <w:szCs w:val="24"/>
          <w:lang w:val="sq-AL"/>
        </w:rPr>
        <w:t>Njohuri mbi Ligjin Nr.10296 date 8.7.2010,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3E04A9">
        <w:rPr>
          <w:rFonts w:ascii="Times New Roman" w:hAnsi="Times New Roman"/>
          <w:i/>
          <w:sz w:val="24"/>
          <w:szCs w:val="24"/>
          <w:lang w:val="sq-AL"/>
        </w:rPr>
        <w:t>r Menaxhimin Financiar dhe Kontrollin</w:t>
      </w:r>
      <w:r w:rsidRPr="003E04A9">
        <w:rPr>
          <w:rFonts w:ascii="Times New Roman" w:hAnsi="Times New Roman"/>
          <w:sz w:val="24"/>
          <w:szCs w:val="24"/>
          <w:lang w:val="sq-AL"/>
        </w:rPr>
        <w:t>”</w:t>
      </w:r>
    </w:p>
    <w:p w:rsidR="00FD32F8" w:rsidRPr="00FD32F8" w:rsidRDefault="00FD32F8" w:rsidP="00FD32F8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3E04A9">
        <w:rPr>
          <w:rFonts w:ascii="Times New Roman" w:hAnsi="Times New Roman"/>
          <w:sz w:val="24"/>
          <w:szCs w:val="24"/>
          <w:lang w:val="sq-AL"/>
        </w:rPr>
        <w:t>Njohuri mbi Ligjin Nr.9936 date 26.06.2008, “</w:t>
      </w:r>
      <w:r>
        <w:rPr>
          <w:rFonts w:ascii="Times New Roman" w:hAnsi="Times New Roman"/>
          <w:i/>
          <w:sz w:val="24"/>
          <w:szCs w:val="24"/>
          <w:lang w:val="sq-AL"/>
        </w:rPr>
        <w:t>Pë</w:t>
      </w:r>
      <w:r w:rsidRPr="003E04A9">
        <w:rPr>
          <w:rFonts w:ascii="Times New Roman" w:hAnsi="Times New Roman"/>
          <w:i/>
          <w:sz w:val="24"/>
          <w:szCs w:val="24"/>
          <w:lang w:val="sq-AL"/>
        </w:rPr>
        <w:t>r Menaxhimin e Sistemit Buxhetor ne   Republiken e Shqiperise</w:t>
      </w:r>
      <w:r w:rsidRPr="003E04A9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FD32F8" w:rsidRDefault="00FD32F8" w:rsidP="00FD32F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gjatë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intervistës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strukturuar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sz w:val="24"/>
          <w:szCs w:val="24"/>
        </w:rPr>
        <w:t>gojë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FD32F8" w:rsidRDefault="00FD32F8" w:rsidP="00FD32F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aftësitë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kompetencën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përshkrimin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pozicionit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D32F8" w:rsidTr="00F716EE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Kandidatët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lidhje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me:</w:t>
      </w:r>
    </w:p>
    <w:p w:rsidR="00FD32F8" w:rsidRDefault="00FD32F8" w:rsidP="00FD32F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32F8" w:rsidRDefault="00FD32F8" w:rsidP="00FD32F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metodologjinë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shpërndarjes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mënyrën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llogaritjes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Udhëzimin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 xml:space="preserve">. 2,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27.03.2015,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plotësimit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vendeve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lira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procedures </w:t>
      </w:r>
      <w:proofErr w:type="spellStart"/>
      <w:r>
        <w:rPr>
          <w:rFonts w:ascii="Times New Roman" w:hAnsi="Times New Roman"/>
          <w:i/>
          <w:sz w:val="24"/>
          <w:szCs w:val="24"/>
        </w:rPr>
        <w:t>së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lëvizjes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paralele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ngritjes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detyrë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mesme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ulët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drejtuese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dhe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pranimin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ekzekutive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nëpërmjet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konkurrimit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hapur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Departamentit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sz w:val="24"/>
            <w:szCs w:val="24"/>
          </w:rPr>
          <w:t>ëëë</w:t>
        </w:r>
        <w:r w:rsidRPr="00696DA6">
          <w:rPr>
            <w:rStyle w:val="Hyperlink"/>
            <w:sz w:val="24"/>
            <w:szCs w:val="24"/>
          </w:rPr>
          <w:t>.dap.gov.al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FD32F8" w:rsidRDefault="00FD32F8" w:rsidP="00FD32F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FD32F8" w:rsidTr="00F716EE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D32F8" w:rsidRDefault="00FD32F8" w:rsidP="00F716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D32F8" w:rsidRDefault="00FD32F8" w:rsidP="00F716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54F44">
        <w:rPr>
          <w:rFonts w:ascii="Times New Roman" w:hAnsi="Times New Roman"/>
          <w:color w:val="000000" w:themeColor="text1"/>
          <w:sz w:val="24"/>
          <w:szCs w:val="24"/>
        </w:rPr>
        <w:t>Bashkia</w:t>
      </w:r>
      <w:proofErr w:type="spellEnd"/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54F44">
        <w:rPr>
          <w:rFonts w:ascii="Times New Roman" w:hAnsi="Times New Roman"/>
          <w:color w:val="000000" w:themeColor="text1"/>
          <w:sz w:val="24"/>
          <w:szCs w:val="24"/>
        </w:rPr>
        <w:t>Lushnje</w:t>
      </w:r>
      <w:proofErr w:type="spellEnd"/>
      <w:r w:rsidRPr="00154F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Agjencia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Aftësive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Default="00FD32F8" w:rsidP="00FD32F8">
      <w:pPr>
        <w:jc w:val="both"/>
        <w:rPr>
          <w:rFonts w:ascii="Times New Roman" w:hAnsi="Times New Roman"/>
          <w:sz w:val="24"/>
          <w:szCs w:val="24"/>
        </w:rPr>
      </w:pPr>
    </w:p>
    <w:p w:rsidR="00FD32F8" w:rsidRPr="00E00CF9" w:rsidRDefault="00FD32F8" w:rsidP="00FD32F8">
      <w:pPr>
        <w:rPr>
          <w:szCs w:val="24"/>
        </w:rPr>
      </w:pPr>
    </w:p>
    <w:p w:rsidR="00FD32F8" w:rsidRPr="00DC69F6" w:rsidRDefault="00FD32F8" w:rsidP="00FD32F8"/>
    <w:p w:rsidR="00085699" w:rsidRDefault="00285C99">
      <w:bookmarkStart w:id="0" w:name="_GoBack"/>
      <w:bookmarkEnd w:id="0"/>
    </w:p>
    <w:sectPr w:rsidR="0008569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4C" w:rsidRDefault="00285C99">
    <w:pPr>
      <w:pStyle w:val="Header"/>
    </w:pPr>
    <w:proofErr w:type="spellStart"/>
    <w:r>
      <w:t>Bashkia</w:t>
    </w:r>
    <w:proofErr w:type="spellEnd"/>
    <w:r>
      <w:t xml:space="preserve"> </w:t>
    </w:r>
    <w:proofErr w:type="spellStart"/>
    <w:r>
      <w:t>Lushnje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B87911"/>
    <w:multiLevelType w:val="hybridMultilevel"/>
    <w:tmpl w:val="2F40F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8"/>
    <w:rsid w:val="00285C99"/>
    <w:rsid w:val="00AD147F"/>
    <w:rsid w:val="00C11A89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65E1D"/>
  <w15:chartTrackingRefBased/>
  <w15:docId w15:val="{DB264133-EBF8-4039-AC6F-40DD0191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Annex,List Paragraph1"/>
    <w:basedOn w:val="Normal"/>
    <w:link w:val="ListParagraphChar"/>
    <w:uiPriority w:val="34"/>
    <w:qFormat/>
    <w:rsid w:val="00FD32F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D32F8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ormal 1 Char,Annex Char,List Paragraph1 Char"/>
    <w:basedOn w:val="DefaultParagraphFont"/>
    <w:link w:val="ListParagraph"/>
    <w:uiPriority w:val="34"/>
    <w:locked/>
    <w:rsid w:val="00FD32F8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D32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2F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ap.gov.al/2014-03-21-12-52-44/udhezime/426-udhezim-nr-2-date-27-03-20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cp:lastPrinted>2025-06-13T09:43:00Z</cp:lastPrinted>
  <dcterms:created xsi:type="dcterms:W3CDTF">2025-06-13T09:32:00Z</dcterms:created>
  <dcterms:modified xsi:type="dcterms:W3CDTF">2025-06-13T09:43:00Z</dcterms:modified>
</cp:coreProperties>
</file>