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4425CA" w:rsidRPr="00EE5C58" w:rsidRDefault="001574E6" w:rsidP="004425CA">
      <w:pPr>
        <w:pStyle w:val="BodyTextIndent"/>
        <w:ind w:firstLine="0"/>
        <w:jc w:val="both"/>
        <w:rPr>
          <w:i/>
          <w:sz w:val="24"/>
          <w:szCs w:val="24"/>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EE5C58">
        <w:rPr>
          <w:b/>
          <w:sz w:val="24"/>
          <w:szCs w:val="24"/>
          <w:lang w:val="sq-AL"/>
        </w:rPr>
        <w:t>1</w:t>
      </w:r>
      <w:r w:rsidR="00E81652">
        <w:rPr>
          <w:b/>
          <w:sz w:val="24"/>
          <w:szCs w:val="24"/>
          <w:lang w:val="sq-AL"/>
        </w:rPr>
        <w:t xml:space="preserve"> (</w:t>
      </w:r>
      <w:r w:rsidR="00EE5C58">
        <w:rPr>
          <w:b/>
          <w:sz w:val="24"/>
          <w:szCs w:val="24"/>
          <w:lang w:val="sq-AL"/>
        </w:rPr>
        <w:t>një</w:t>
      </w:r>
      <w:r w:rsidR="00E81652">
        <w:rPr>
          <w:b/>
          <w:sz w:val="24"/>
          <w:szCs w:val="24"/>
          <w:lang w:val="sq-AL"/>
        </w:rPr>
        <w:t xml:space="preserve">) </w:t>
      </w:r>
      <w:r w:rsidR="00E81652" w:rsidRPr="00E81652">
        <w:rPr>
          <w:sz w:val="24"/>
          <w:szCs w:val="24"/>
          <w:lang w:val="sq-AL"/>
        </w:rPr>
        <w:t>vend</w:t>
      </w:r>
      <w:r w:rsidR="00EE5C58">
        <w:rPr>
          <w:sz w:val="24"/>
          <w:szCs w:val="24"/>
          <w:lang w:val="sq-AL"/>
        </w:rPr>
        <w:t>i</w:t>
      </w:r>
      <w:r w:rsidR="00E81652" w:rsidRPr="00E81652">
        <w:rPr>
          <w:sz w:val="24"/>
          <w:szCs w:val="24"/>
          <w:lang w:val="sq-AL"/>
        </w:rPr>
        <w:t xml:space="preserve"> vakant</w:t>
      </w:r>
      <w:r w:rsidR="008D380A" w:rsidRPr="000C5604">
        <w:rPr>
          <w:sz w:val="24"/>
          <w:szCs w:val="24"/>
          <w:lang w:val="sq-AL"/>
        </w:rPr>
        <w:t xml:space="preserve"> </w:t>
      </w:r>
      <w:r w:rsidR="00EE5C58" w:rsidRPr="00EE5C58">
        <w:rPr>
          <w:sz w:val="24"/>
          <w:szCs w:val="24"/>
        </w:rPr>
        <w:t>në pozicionin</w:t>
      </w:r>
      <w:r w:rsidR="00EE5C58" w:rsidRPr="00EE5C58">
        <w:rPr>
          <w:b/>
          <w:sz w:val="24"/>
          <w:szCs w:val="24"/>
        </w:rPr>
        <w:t xml:space="preserve"> “Përgjegjës i Sektorit të Shërbimeve” në Drejtorinë e Shërbimeve Mbështetëse  </w:t>
      </w:r>
    </w:p>
    <w:p w:rsidR="00EE5C58" w:rsidRPr="008A0A28" w:rsidRDefault="00EE5C58"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EE5C58" w:rsidRDefault="00BB799D" w:rsidP="00BB799D">
      <w:pPr>
        <w:pStyle w:val="BodyTextIndent"/>
        <w:ind w:firstLine="0"/>
        <w:jc w:val="both"/>
        <w:rPr>
          <w:i/>
          <w:sz w:val="24"/>
          <w:szCs w:val="24"/>
        </w:rPr>
      </w:pPr>
      <w:r>
        <w:rPr>
          <w:b/>
          <w:sz w:val="24"/>
          <w:szCs w:val="24"/>
          <w:lang w:val="sq-AL"/>
        </w:rPr>
        <w:t xml:space="preserve">- </w:t>
      </w:r>
      <w:r w:rsidR="00D2542E">
        <w:rPr>
          <w:b/>
          <w:sz w:val="24"/>
          <w:szCs w:val="24"/>
          <w:lang w:val="sq-AL"/>
        </w:rPr>
        <w:t>Për 1</w:t>
      </w:r>
      <w:r w:rsidR="00D2542E" w:rsidRPr="00467ACB">
        <w:rPr>
          <w:b/>
          <w:sz w:val="24"/>
          <w:szCs w:val="24"/>
          <w:lang w:val="sq-AL"/>
        </w:rPr>
        <w:t xml:space="preserve"> (</w:t>
      </w:r>
      <w:r w:rsidR="00D2542E">
        <w:rPr>
          <w:b/>
          <w:sz w:val="24"/>
          <w:szCs w:val="24"/>
          <w:lang w:val="sq-AL"/>
        </w:rPr>
        <w:t>një</w:t>
      </w:r>
      <w:r w:rsidR="00D2542E" w:rsidRPr="00467ACB">
        <w:rPr>
          <w:b/>
          <w:sz w:val="24"/>
          <w:szCs w:val="24"/>
          <w:lang w:val="sq-AL"/>
        </w:rPr>
        <w:t xml:space="preserve">) vend në </w:t>
      </w:r>
      <w:r w:rsidR="00EE5C58" w:rsidRPr="00EE5C58">
        <w:rPr>
          <w:b/>
          <w:sz w:val="24"/>
          <w:szCs w:val="24"/>
        </w:rPr>
        <w:t xml:space="preserve">“Përgjegjës i Sektorit të Shërbimeve” në Drejtorinë e Shërbimeve Mbështetëse  – </w:t>
      </w:r>
      <w:r w:rsidR="00EE5C58" w:rsidRPr="00EE5C58">
        <w:rPr>
          <w:i/>
          <w:sz w:val="24"/>
          <w:szCs w:val="24"/>
        </w:rPr>
        <w:t>diplomuar në Master Shkencor në Shkenca Juridike.</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të nivelit Master </w:t>
      </w:r>
      <w:r w:rsidR="00EE5C58">
        <w:rPr>
          <w:lang w:val="sq-AL"/>
        </w:rPr>
        <w:t>Shkencor</w:t>
      </w:r>
      <w:r w:rsidRPr="0094712C">
        <w:rPr>
          <w:lang w:val="sq-AL"/>
        </w:rPr>
        <w:t xml:space="preserve"> në Shkenca </w:t>
      </w:r>
      <w:r w:rsidR="002162E0" w:rsidRPr="0094712C">
        <w:rPr>
          <w:lang w:val="sq-AL"/>
        </w:rPr>
        <w:t>Juridike</w:t>
      </w:r>
      <w:r w:rsidRPr="0094712C">
        <w:rPr>
          <w:lang w:val="sq-AL"/>
        </w:rPr>
        <w:t xml:space="preserve">; </w:t>
      </w:r>
    </w:p>
    <w:p w:rsidR="00BB799D" w:rsidRDefault="00BB799D" w:rsidP="00BB799D">
      <w:pPr>
        <w:jc w:val="both"/>
        <w:rPr>
          <w:lang w:val="sq-AL"/>
        </w:rPr>
      </w:pPr>
      <w:r w:rsidRPr="0094712C">
        <w:rPr>
          <w:lang w:val="sq-AL"/>
        </w:rPr>
        <w:t xml:space="preserve">- </w:t>
      </w:r>
      <w:r w:rsidR="00D2542E">
        <w:rPr>
          <w:lang w:val="sq-AL"/>
        </w:rPr>
        <w:t>T</w:t>
      </w:r>
      <w:r w:rsidRPr="0094712C">
        <w:rPr>
          <w:lang w:val="sq-AL"/>
        </w:rPr>
        <w:t>ë kenë eksperiencë pune në fushën e diplomimit</w:t>
      </w:r>
      <w:r w:rsidR="00D2542E">
        <w:rPr>
          <w:lang w:val="sq-AL"/>
        </w:rPr>
        <w:t xml:space="preserve"> mbi 5 vjet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 xml:space="preserve">Kategoria e pagës </w:t>
      </w:r>
      <w:r w:rsidR="00EE5C58">
        <w:rPr>
          <w:lang w:val="sq-AL"/>
        </w:rPr>
        <w:t>për këtë vend pune është I</w:t>
      </w:r>
      <w:r w:rsidRPr="0094712C">
        <w:rPr>
          <w:lang w:val="sq-AL"/>
        </w:rPr>
        <w:t>I-</w:t>
      </w:r>
      <w:r w:rsidR="00EE5C58">
        <w:rPr>
          <w:lang w:val="sq-AL"/>
        </w:rPr>
        <w:t>2</w:t>
      </w:r>
      <w:r w:rsidRPr="0094712C">
        <w:rPr>
          <w:lang w:val="sq-AL"/>
        </w:rPr>
        <w:t>.</w:t>
      </w:r>
    </w:p>
    <w:p w:rsidR="00D2542E" w:rsidRDefault="00D2542E"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EE5C58" w:rsidRPr="00EE5C58">
        <w:rPr>
          <w:b/>
          <w:sz w:val="24"/>
          <w:szCs w:val="24"/>
        </w:rPr>
        <w:t>Përgjegjës i Sektorit të Shërbimeve</w:t>
      </w:r>
      <w:r w:rsidR="00884A45" w:rsidRPr="008A0A28">
        <w:rPr>
          <w:b/>
          <w:sz w:val="24"/>
          <w:szCs w:val="24"/>
          <w:lang w:val="sq-AL"/>
        </w:rPr>
        <w:t>”</w:t>
      </w:r>
      <w:r w:rsidR="008619A3" w:rsidRPr="008A0A28">
        <w:rPr>
          <w:b/>
          <w:sz w:val="24"/>
          <w:szCs w:val="24"/>
          <w:lang w:val="sq-AL"/>
        </w:rPr>
        <w:t xml:space="preserve"> </w:t>
      </w:r>
    </w:p>
    <w:p w:rsidR="004A6BA8" w:rsidRPr="008073DF" w:rsidRDefault="004A6BA8" w:rsidP="004A6BA8">
      <w:pPr>
        <w:shd w:val="clear" w:color="auto" w:fill="FFFFFF"/>
        <w:tabs>
          <w:tab w:val="left" w:pos="4253"/>
        </w:tabs>
        <w:jc w:val="both"/>
        <w:rPr>
          <w:b/>
          <w:bCs/>
          <w:i/>
          <w:iCs/>
          <w:color w:val="000000"/>
          <w:u w:val="single"/>
          <w:bdr w:val="none" w:sz="0" w:space="0" w:color="auto" w:frame="1"/>
          <w:lang w:val="sq-AL"/>
        </w:rPr>
      </w:pPr>
      <w:r w:rsidRPr="004A6BA8">
        <w:rPr>
          <w:color w:val="000000"/>
          <w:bdr w:val="none" w:sz="0" w:space="0" w:color="auto" w:frame="1"/>
          <w:lang w:val="sq-AL"/>
        </w:rPr>
        <w:t>Përgje</w:t>
      </w:r>
      <w:r w:rsidRPr="008073DF">
        <w:rPr>
          <w:color w:val="000000"/>
          <w:bdr w:val="none" w:sz="0" w:space="0" w:color="auto" w:frame="1"/>
          <w:lang w:val="sq-AL"/>
        </w:rPr>
        <w:t>gjës i Sektorit të Shërbimeve kryen këto detyra:</w:t>
      </w:r>
    </w:p>
    <w:p w:rsidR="004A6BA8" w:rsidRPr="008073DF" w:rsidRDefault="004A6BA8" w:rsidP="008073DF">
      <w:pPr>
        <w:pStyle w:val="ListParagraph"/>
        <w:widowControl/>
        <w:numPr>
          <w:ilvl w:val="0"/>
          <w:numId w:val="12"/>
        </w:numPr>
        <w:shd w:val="clear" w:color="auto" w:fill="FFFFFF"/>
        <w:tabs>
          <w:tab w:val="left" w:pos="4253"/>
        </w:tabs>
        <w:autoSpaceDE/>
        <w:autoSpaceDN/>
        <w:contextualSpacing/>
        <w:jc w:val="both"/>
        <w:rPr>
          <w:b/>
          <w:bCs/>
          <w:i/>
          <w:iCs/>
          <w:color w:val="000000"/>
          <w:sz w:val="24"/>
          <w:szCs w:val="24"/>
          <w:u w:val="single"/>
          <w:bdr w:val="none" w:sz="0" w:space="0" w:color="auto" w:frame="1"/>
        </w:rPr>
      </w:pPr>
      <w:r w:rsidRPr="008073DF">
        <w:rPr>
          <w:color w:val="000000"/>
          <w:sz w:val="24"/>
          <w:szCs w:val="24"/>
          <w:bdr w:val="none" w:sz="0" w:space="0" w:color="auto" w:frame="1"/>
        </w:rPr>
        <w:t>Merr pjesë në hartimin e regjistrit vjetor të parashikimit të prokurimeve publike dhe ndjek zbatimin e tij.</w:t>
      </w:r>
    </w:p>
    <w:p w:rsidR="004A6BA8" w:rsidRPr="008073DF" w:rsidRDefault="004A6BA8" w:rsidP="008073DF">
      <w:pPr>
        <w:pStyle w:val="ListParagraph"/>
        <w:widowControl/>
        <w:numPr>
          <w:ilvl w:val="0"/>
          <w:numId w:val="12"/>
        </w:numPr>
        <w:shd w:val="clear" w:color="auto" w:fill="FFFFFF"/>
        <w:tabs>
          <w:tab w:val="left" w:pos="4253"/>
        </w:tabs>
        <w:autoSpaceDE/>
        <w:autoSpaceDN/>
        <w:contextualSpacing/>
        <w:jc w:val="both"/>
        <w:rPr>
          <w:b/>
          <w:bCs/>
          <w:i/>
          <w:iCs/>
          <w:color w:val="000000"/>
          <w:sz w:val="24"/>
          <w:szCs w:val="24"/>
          <w:u w:val="single"/>
          <w:bdr w:val="none" w:sz="0" w:space="0" w:color="auto" w:frame="1"/>
        </w:rPr>
      </w:pPr>
      <w:r w:rsidRPr="008073DF">
        <w:rPr>
          <w:color w:val="000000"/>
          <w:sz w:val="24"/>
          <w:szCs w:val="24"/>
          <w:bdr w:val="none" w:sz="0" w:space="0" w:color="auto" w:frame="1"/>
        </w:rPr>
        <w:t>Ndjek zbatimin e procedurave të prokurimit publik, kujdeset për administrimin e dokumentacionit përkatës dhe sigurimin në kohë të furnizimit me punë, mallra dhe shërbime të institucionit.</w:t>
      </w:r>
    </w:p>
    <w:p w:rsidR="004A6BA8" w:rsidRPr="008073DF" w:rsidRDefault="004A6BA8" w:rsidP="008073DF">
      <w:pPr>
        <w:pStyle w:val="ListParagraph"/>
        <w:widowControl/>
        <w:numPr>
          <w:ilvl w:val="0"/>
          <w:numId w:val="12"/>
        </w:numPr>
        <w:shd w:val="clear" w:color="auto" w:fill="FFFFFF"/>
        <w:tabs>
          <w:tab w:val="left" w:pos="4253"/>
        </w:tabs>
        <w:autoSpaceDE/>
        <w:autoSpaceDN/>
        <w:contextualSpacing/>
        <w:jc w:val="both"/>
        <w:rPr>
          <w:b/>
          <w:bCs/>
          <w:i/>
          <w:iCs/>
          <w:color w:val="000000"/>
          <w:sz w:val="24"/>
          <w:szCs w:val="24"/>
          <w:u w:val="single"/>
          <w:bdr w:val="none" w:sz="0" w:space="0" w:color="auto" w:frame="1"/>
        </w:rPr>
      </w:pPr>
      <w:r w:rsidRPr="008073DF">
        <w:rPr>
          <w:color w:val="000000"/>
          <w:sz w:val="24"/>
          <w:szCs w:val="24"/>
          <w:bdr w:val="none" w:sz="0" w:space="0" w:color="auto" w:frame="1"/>
        </w:rPr>
        <w:t>Ndjek administrimin ligjor të mjeteve të transportit dhe shpenzimeve të karburantit duke siguruar funksionimin normal të veprimtarisë së institucionit.</w:t>
      </w:r>
    </w:p>
    <w:p w:rsidR="004A6BA8"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Ndjek zbatimin e detyrës për shpërndarjen e automjeteve dhe zbatimin e shpërndarjes së karburanteve e lubrifikanteve sipas kërkesave të departamenteve dhe drejtorive për nevoja shërbimi.</w:t>
      </w:r>
    </w:p>
    <w:p w:rsidR="004A6BA8"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Ndjek mirëmbajtjen e automjeteve të institucionit, planifikon dhe përgjigjet për kryerjen e shërbimeve teknike dhe gatishmërinë teknike të tyre.</w:t>
      </w:r>
    </w:p>
    <w:p w:rsidR="004A6BA8"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Në bashkëpunim me punonjësit e tjerë të ngarkuar për zbatimin e procedurave të prokurimit publik, ndjek zbatimin e blerjeve të pjesëve të këmbimit dhe shërbimeve me të tretë për automjetet, në përputhje me legjislacionin në fuqi për prokurimin publik.</w:t>
      </w:r>
    </w:p>
    <w:p w:rsidR="008073DF"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lastRenderedPageBreak/>
        <w:t>Mban dhe plotëson dokumentacionin përkatës për shërbimet e kryera në automjete dhe plotëson librin e makinerive.</w:t>
      </w:r>
    </w:p>
    <w:p w:rsidR="008073DF"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Ndjek shpenzimet për pjesë këmbimi, goma, riparim</w:t>
      </w:r>
      <w:r w:rsidR="008073DF" w:rsidRPr="008073DF">
        <w:rPr>
          <w:color w:val="000000"/>
          <w:bdr w:val="none" w:sz="0" w:space="0" w:color="auto" w:frame="1"/>
          <w:lang w:val="sq-AL"/>
        </w:rPr>
        <w:t xml:space="preserve"> shërbime për çdo mjet dhe mban</w:t>
      </w:r>
      <w:r w:rsidR="008073DF" w:rsidRPr="008073DF">
        <w:rPr>
          <w:bCs/>
          <w:iCs/>
          <w:color w:val="000000"/>
          <w:bdr w:val="none" w:sz="0" w:space="0" w:color="auto" w:frame="1"/>
          <w:lang w:val="sq-AL"/>
        </w:rPr>
        <w:t xml:space="preserve"> </w:t>
      </w:r>
      <w:r w:rsidR="008073DF" w:rsidRPr="008073DF">
        <w:rPr>
          <w:color w:val="000000"/>
          <w:bdr w:val="none" w:sz="0" w:space="0" w:color="auto" w:frame="1"/>
          <w:lang w:val="sq-AL"/>
        </w:rPr>
        <w:t xml:space="preserve">evidencën </w:t>
      </w:r>
      <w:r w:rsidRPr="008073DF">
        <w:rPr>
          <w:color w:val="000000"/>
          <w:bdr w:val="none" w:sz="0" w:space="0" w:color="auto" w:frame="1"/>
          <w:lang w:val="sq-AL"/>
        </w:rPr>
        <w:t>mujore dhe progresive, të cilën ia paraqet Sekretarit të Përgjithshëm dhe Drejtorit të Drejtorisë.</w:t>
      </w:r>
    </w:p>
    <w:p w:rsidR="008073DF" w:rsidRPr="008073DF" w:rsidRDefault="004A6BA8" w:rsidP="008073DF">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Studion dhe propozon nevojat për fonde për riparime të automjeteve dhe merr pjesë në hartimin e planeve vjetore të shpenzimeve dhe nevojave për parkun e automjeteve për vitin pasardhës.</w:t>
      </w:r>
    </w:p>
    <w:p w:rsidR="008073DF" w:rsidRPr="008073DF" w:rsidRDefault="004A6BA8" w:rsidP="0038483A">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Ndjek dhe pajis me taksë regjistrimi, taksë qarkullimi, siguracion të detyrueshëm, siguracion kasko dhe dokumente të tjera, të gjithë automjetet e institucionit.</w:t>
      </w:r>
    </w:p>
    <w:p w:rsidR="008A0A28" w:rsidRPr="008073DF" w:rsidRDefault="008A0A28" w:rsidP="0038483A">
      <w:pPr>
        <w:numPr>
          <w:ilvl w:val="0"/>
          <w:numId w:val="12"/>
        </w:numPr>
        <w:shd w:val="clear" w:color="auto" w:fill="FFFFFF"/>
        <w:tabs>
          <w:tab w:val="left" w:pos="4253"/>
        </w:tabs>
        <w:jc w:val="both"/>
        <w:rPr>
          <w:b/>
          <w:bCs/>
          <w:i/>
          <w:iCs/>
          <w:color w:val="000000"/>
          <w:u w:val="single"/>
          <w:bdr w:val="none" w:sz="0" w:space="0" w:color="auto" w:frame="1"/>
          <w:lang w:val="sq-AL"/>
        </w:rPr>
      </w:pPr>
      <w:r w:rsidRPr="008073DF">
        <w:rPr>
          <w:color w:val="000000"/>
          <w:bdr w:val="none" w:sz="0" w:space="0" w:color="auto" w:frame="1"/>
          <w:lang w:val="sq-AL"/>
        </w:rPr>
        <w:t>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DF2ACF" w:rsidRDefault="001A16C0" w:rsidP="0038483A">
      <w:pPr>
        <w:jc w:val="both"/>
        <w:rPr>
          <w:lang w:val="sq-AL"/>
        </w:rPr>
      </w:pPr>
      <w:r w:rsidRPr="00DF2ACF">
        <w:rPr>
          <w:lang w:val="sq-AL"/>
        </w:rPr>
        <w:t>- Për kandidatët që gëzojnë statusin e Nëpunësit Civil:</w:t>
      </w:r>
    </w:p>
    <w:p w:rsidR="001A16C0" w:rsidRPr="00DF2ACF" w:rsidRDefault="001A16C0" w:rsidP="001A16C0">
      <w:pPr>
        <w:ind w:firstLine="720"/>
        <w:jc w:val="both"/>
        <w:rPr>
          <w:lang w:val="sq-AL"/>
        </w:rPr>
      </w:pPr>
      <w:r w:rsidRPr="00DF2ACF">
        <w:rPr>
          <w:lang w:val="sq-AL"/>
        </w:rPr>
        <w:t>- Vërtetim që nuk kanë masë disiplinore në fuqi;</w:t>
      </w:r>
    </w:p>
    <w:p w:rsidR="001A16C0" w:rsidRPr="008A0A28" w:rsidRDefault="001A16C0" w:rsidP="0038483A">
      <w:pPr>
        <w:jc w:val="both"/>
        <w:rPr>
          <w:lang w:val="sq-AL"/>
        </w:rPr>
      </w:pPr>
      <w:r w:rsidRPr="00DF2ACF">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DF2ACF">
        <w:rPr>
          <w:b/>
          <w:i/>
          <w:u w:val="single"/>
          <w:lang w:val="sq-AL"/>
        </w:rPr>
        <w:t>30.06.</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DF2ACF">
        <w:rPr>
          <w:b/>
          <w:u w:val="single"/>
          <w:lang w:val="sq-AL"/>
        </w:rPr>
        <w:t>04.07.</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8073DF" w:rsidRDefault="008073DF" w:rsidP="0038483A">
      <w:pPr>
        <w:pStyle w:val="BodyText"/>
        <w:spacing w:after="0"/>
        <w:rPr>
          <w:lang w:val="sq-AL"/>
        </w:rPr>
      </w:pPr>
      <w:r>
        <w:rPr>
          <w:lang w:val="sq-AL"/>
        </w:rPr>
        <w:t>- Kuadrin ligjor dhe nënligjor për procedurat e prokurimit publik;</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lastRenderedPageBreak/>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DF2ACF" w:rsidRDefault="00A50582" w:rsidP="0038483A">
      <w:pPr>
        <w:pStyle w:val="BodyText"/>
        <w:spacing w:after="0"/>
        <w:jc w:val="both"/>
        <w:rPr>
          <w:lang w:val="sq-AL"/>
        </w:rPr>
      </w:pPr>
      <w:r w:rsidRPr="00DF2ACF">
        <w:rPr>
          <w:lang w:val="sq-AL"/>
        </w:rPr>
        <w:t xml:space="preserve">Kandidatët do t’i nënshtrohen fazave të vlerësimit si, verifikimi paraprak dhe vlerësimi i kandidatëve. </w:t>
      </w:r>
    </w:p>
    <w:p w:rsidR="00A50582" w:rsidRPr="00DF2ACF" w:rsidRDefault="00A50582" w:rsidP="0038483A">
      <w:pPr>
        <w:pStyle w:val="BodyText"/>
        <w:spacing w:after="0"/>
        <w:jc w:val="both"/>
        <w:rPr>
          <w:lang w:val="sq-AL"/>
        </w:rPr>
      </w:pPr>
      <w:r w:rsidRPr="00DF2ACF">
        <w:rPr>
          <w:lang w:val="sq-AL"/>
        </w:rPr>
        <w:t>Verifikimi paraprak, ka për qëllim të verifikojë nëse kandidatët plotësojnë kriteret e përcaktuara në shpalljen për konkurrim.</w:t>
      </w:r>
    </w:p>
    <w:p w:rsidR="00A50582" w:rsidRPr="00DF2ACF" w:rsidRDefault="00A50582" w:rsidP="0038483A">
      <w:pPr>
        <w:pStyle w:val="BodyText"/>
        <w:spacing w:after="0"/>
        <w:rPr>
          <w:lang w:val="sq-AL"/>
        </w:rPr>
      </w:pPr>
      <w:r w:rsidRPr="00DF2ACF">
        <w:rPr>
          <w:lang w:val="sq-AL"/>
        </w:rPr>
        <w:t xml:space="preserve">Vlerësimi i kandidatëve, përfshin: </w:t>
      </w:r>
    </w:p>
    <w:p w:rsidR="00A50582" w:rsidRPr="00DF2ACF" w:rsidRDefault="00A50582" w:rsidP="0038483A">
      <w:pPr>
        <w:pStyle w:val="BodyText"/>
        <w:spacing w:after="0"/>
        <w:rPr>
          <w:lang w:val="sq-AL"/>
        </w:rPr>
      </w:pPr>
      <w:r w:rsidRPr="00DF2ACF">
        <w:rPr>
          <w:lang w:val="sq-AL"/>
        </w:rPr>
        <w:t>a) vlerësimi i jetëshkrimit (arsimimi, përvoja, trajnime të lidhura me fushën</w:t>
      </w:r>
      <w:r w:rsidR="00811271" w:rsidRPr="00DF2ACF">
        <w:rPr>
          <w:lang w:val="sq-AL"/>
        </w:rPr>
        <w:t>)</w:t>
      </w:r>
      <w:r w:rsidRPr="00DF2ACF">
        <w:rPr>
          <w:lang w:val="sq-AL"/>
        </w:rPr>
        <w:t xml:space="preserve">; </w:t>
      </w:r>
    </w:p>
    <w:p w:rsidR="00A50582" w:rsidRPr="00DF2ACF" w:rsidRDefault="00A50582" w:rsidP="0038483A">
      <w:pPr>
        <w:pStyle w:val="BodyText"/>
        <w:spacing w:after="0"/>
        <w:rPr>
          <w:lang w:val="sq-AL"/>
        </w:rPr>
      </w:pPr>
      <w:r w:rsidRPr="00DF2ACF">
        <w:rPr>
          <w:lang w:val="sq-AL"/>
        </w:rPr>
        <w:t xml:space="preserve">b) vlerësimi me shkrim; </w:t>
      </w:r>
    </w:p>
    <w:p w:rsidR="00A50582" w:rsidRPr="00DF2ACF" w:rsidRDefault="00A50582" w:rsidP="0038483A">
      <w:pPr>
        <w:pStyle w:val="BodyText"/>
        <w:spacing w:after="0"/>
        <w:rPr>
          <w:lang w:val="sq-AL"/>
        </w:rPr>
      </w:pPr>
      <w:r w:rsidRPr="00DF2ACF">
        <w:rPr>
          <w:lang w:val="sq-AL"/>
        </w:rPr>
        <w:t>c) intervista e strukturuar me gojë.</w:t>
      </w:r>
    </w:p>
    <w:p w:rsidR="00A50582" w:rsidRPr="00DF2ACF" w:rsidRDefault="00A50582" w:rsidP="0038483A">
      <w:pPr>
        <w:pStyle w:val="BodyText"/>
        <w:spacing w:after="0"/>
        <w:jc w:val="both"/>
        <w:rPr>
          <w:lang w:val="sq-AL"/>
        </w:rPr>
      </w:pPr>
      <w:r w:rsidRPr="00DF2ACF">
        <w:rPr>
          <w:lang w:val="sq-AL"/>
        </w:rPr>
        <w:t xml:space="preserve">Kandidatët duhet të grumbullojnë mbi 50% të pikëve të testit me shkrim me qëllim që të kualifikohen për </w:t>
      </w:r>
      <w:r w:rsidR="006A7C67" w:rsidRPr="00DF2ACF">
        <w:rPr>
          <w:lang w:val="sq-AL"/>
        </w:rPr>
        <w:t>procesin e vlerësimit të jetëshkrimit. Pas vlerësimit edhe të jetëshkrimit</w:t>
      </w:r>
      <w:r w:rsidR="00E578A0" w:rsidRPr="00DF2ACF">
        <w:rPr>
          <w:lang w:val="sq-AL"/>
        </w:rPr>
        <w:t>,</w:t>
      </w:r>
      <w:r w:rsidR="006A7C67" w:rsidRPr="00DF2ACF">
        <w:rPr>
          <w:lang w:val="sq-AL"/>
        </w:rPr>
        <w:t xml:space="preserve"> vetëm kandidatët që kanë grumbulluar mbi 60% të pikëve nga vlerësimi me shkrim dhe vle</w:t>
      </w:r>
      <w:r w:rsidR="00E578A0" w:rsidRPr="00DF2ACF">
        <w:rPr>
          <w:lang w:val="sq-AL"/>
        </w:rPr>
        <w:t xml:space="preserve">rësimi i jetëshkrimit së bashku, </w:t>
      </w:r>
      <w:r w:rsidR="006A7C67" w:rsidRPr="00DF2ACF">
        <w:rPr>
          <w:lang w:val="sq-AL"/>
        </w:rPr>
        <w:t>kualifikohen për intervistën e strukturuar me gojë.</w:t>
      </w:r>
    </w:p>
    <w:p w:rsidR="001864FC" w:rsidRPr="008A0A28" w:rsidRDefault="006A7C67" w:rsidP="0038483A">
      <w:pPr>
        <w:pStyle w:val="BodyText"/>
        <w:spacing w:after="0"/>
        <w:jc w:val="both"/>
        <w:rPr>
          <w:lang w:val="sq-AL"/>
        </w:rPr>
      </w:pPr>
      <w:r w:rsidRPr="00DF2ACF">
        <w:rPr>
          <w:lang w:val="sq-AL"/>
        </w:rPr>
        <w:t xml:space="preserve">Në përfundim të procesit të vlerësimit vetëm kandidatët që do të grumbullojnë mbi 70% të pikëve </w:t>
      </w:r>
      <w:r w:rsidR="001574E6" w:rsidRPr="00DF2ACF">
        <w:rPr>
          <w:lang w:val="sq-AL"/>
        </w:rPr>
        <w:t xml:space="preserve">totale </w:t>
      </w:r>
      <w:r w:rsidRPr="00DF2ACF">
        <w:rPr>
          <w:lang w:val="sq-AL"/>
        </w:rPr>
        <w:t>do të shpallen fitues.</w:t>
      </w:r>
      <w:bookmarkStart w:id="0" w:name="_GoBack"/>
      <w:bookmarkEnd w:id="0"/>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DF2ACF">
        <w:rPr>
          <w:b/>
          <w:u w:val="single"/>
          <w:lang w:val="sq-AL"/>
        </w:rPr>
        <w:t>04.07.</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DF2ACF">
        <w:rPr>
          <w:b/>
          <w:lang w:val="sq-AL"/>
        </w:rPr>
        <w:t xml:space="preserve">Konkurrimi është i hapur </w:t>
      </w:r>
      <w:r w:rsidR="00E578A0" w:rsidRPr="00DF2ACF">
        <w:rPr>
          <w:b/>
          <w:lang w:val="sq-AL"/>
        </w:rPr>
        <w:t xml:space="preserve">për </w:t>
      </w:r>
      <w:r w:rsidR="001D3412" w:rsidRPr="00DF2ACF">
        <w:rPr>
          <w:b/>
          <w:lang w:val="sq-AL"/>
        </w:rPr>
        <w:t>nëpunës civil</w:t>
      </w:r>
      <w:r w:rsidR="00E578A0" w:rsidRPr="00DF2ACF">
        <w:rPr>
          <w:b/>
          <w:lang w:val="sq-AL"/>
        </w:rPr>
        <w:t xml:space="preserve"> dhe </w:t>
      </w:r>
      <w:r w:rsidRPr="00DF2ACF">
        <w:rPr>
          <w:b/>
          <w:lang w:val="sq-AL"/>
        </w:rPr>
        <w:t>për kandidatë jashtë shërbimit civil</w:t>
      </w:r>
      <w:r w:rsidR="00B640EC" w:rsidRPr="00DF2ACF">
        <w:rPr>
          <w:b/>
          <w:lang w:val="sq-AL"/>
        </w:rPr>
        <w:t xml:space="preserve">. </w:t>
      </w:r>
      <w:r w:rsidR="001574E6" w:rsidRPr="00DF2ACF">
        <w:rPr>
          <w:b/>
          <w:lang w:val="sq-AL"/>
        </w:rPr>
        <w:t xml:space="preserve">Të gjithë kandidatët </w:t>
      </w:r>
      <w:r w:rsidRPr="00DF2ACF">
        <w:rPr>
          <w:b/>
          <w:lang w:val="sq-AL"/>
        </w:rPr>
        <w:t xml:space="preserve">do t’i nënshtrohen procedurave të konkurrimit të </w:t>
      </w:r>
      <w:r w:rsidR="001574E6" w:rsidRPr="00DF2ACF">
        <w:rPr>
          <w:b/>
          <w:lang w:val="sq-AL"/>
        </w:rPr>
        <w:t xml:space="preserve">Kontrollit të </w:t>
      </w:r>
      <w:r w:rsidR="006F3844" w:rsidRPr="00DF2ACF">
        <w:rPr>
          <w:b/>
          <w:lang w:val="sq-AL"/>
        </w:rPr>
        <w:t>L</w:t>
      </w:r>
      <w:r w:rsidR="001574E6" w:rsidRPr="00DF2ACF">
        <w:rPr>
          <w:b/>
          <w:lang w:val="sq-AL"/>
        </w:rPr>
        <w:t>artë të Shtetit</w:t>
      </w:r>
      <w:r w:rsidRPr="00DF2ACF">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668" w:rsidRDefault="00830668" w:rsidP="00282F8C">
      <w:r>
        <w:separator/>
      </w:r>
    </w:p>
  </w:endnote>
  <w:endnote w:type="continuationSeparator" w:id="0">
    <w:p w:rsidR="00830668" w:rsidRDefault="00830668"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DF2ACF">
          <w:rPr>
            <w:noProof/>
          </w:rPr>
          <w:t>3</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668" w:rsidRDefault="00830668" w:rsidP="00282F8C">
      <w:r>
        <w:separator/>
      </w:r>
    </w:p>
  </w:footnote>
  <w:footnote w:type="continuationSeparator" w:id="0">
    <w:p w:rsidR="00830668" w:rsidRDefault="00830668"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92417"/>
    <w:multiLevelType w:val="multilevel"/>
    <w:tmpl w:val="DCA0792C"/>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540"/>
        </w:tabs>
        <w:ind w:left="540" w:hanging="360"/>
      </w:pPr>
      <w:rPr>
        <w:rFonts w:ascii="Times New Roman" w:eastAsiaTheme="minorEastAsia" w:hAnsi="Times New Roman"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5B16D04"/>
    <w:multiLevelType w:val="hybridMultilevel"/>
    <w:tmpl w:val="1BF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BBC6185"/>
    <w:multiLevelType w:val="multilevel"/>
    <w:tmpl w:val="CFBAB090"/>
    <w:lvl w:ilvl="0">
      <w:numFmt w:val="bullet"/>
      <w:lvlText w:val="-"/>
      <w:lvlJc w:val="left"/>
      <w:pPr>
        <w:tabs>
          <w:tab w:val="num" w:pos="720"/>
        </w:tabs>
        <w:ind w:left="720" w:hanging="360"/>
      </w:pPr>
      <w:rPr>
        <w:rFonts w:ascii="Times New Roman" w:eastAsia="Times New Roman" w:hAnsi="Times New Roman" w:cs="Times New Roman" w:hint="default"/>
        <w:b w:val="0"/>
        <w:i w:val="0"/>
        <w:sz w:val="24"/>
        <w:szCs w:val="20"/>
      </w:rPr>
    </w:lvl>
    <w:lvl w:ilvl="1">
      <w:start w:val="1"/>
      <w:numFmt w:val="decimal"/>
      <w:lvlText w:val="%2."/>
      <w:lvlJc w:val="left"/>
      <w:pPr>
        <w:tabs>
          <w:tab w:val="num" w:pos="540"/>
        </w:tabs>
        <w:ind w:left="540" w:hanging="360"/>
      </w:pPr>
      <w:rPr>
        <w:rFonts w:ascii="Times New Roman" w:eastAsiaTheme="minorEastAsia" w:hAnsi="Times New Roman" w:cs="Times New Roman"/>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8"/>
  </w:num>
  <w:num w:numId="7">
    <w:abstractNumId w:val="2"/>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7FC"/>
    <w:rsid w:val="00091B91"/>
    <w:rsid w:val="00091E27"/>
    <w:rsid w:val="000A0011"/>
    <w:rsid w:val="000A0631"/>
    <w:rsid w:val="000B38FE"/>
    <w:rsid w:val="000B7F08"/>
    <w:rsid w:val="000C118A"/>
    <w:rsid w:val="000C5604"/>
    <w:rsid w:val="000C745F"/>
    <w:rsid w:val="000E2E59"/>
    <w:rsid w:val="000E51BC"/>
    <w:rsid w:val="001062A8"/>
    <w:rsid w:val="0012018F"/>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67B54"/>
    <w:rsid w:val="00475549"/>
    <w:rsid w:val="00485C8E"/>
    <w:rsid w:val="00494572"/>
    <w:rsid w:val="00494820"/>
    <w:rsid w:val="004A540C"/>
    <w:rsid w:val="004A6BA8"/>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073DF"/>
    <w:rsid w:val="0081056C"/>
    <w:rsid w:val="00811271"/>
    <w:rsid w:val="0081618F"/>
    <w:rsid w:val="0081642C"/>
    <w:rsid w:val="00825E4F"/>
    <w:rsid w:val="00830668"/>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542E"/>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ACF"/>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E5C58"/>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914ED"/>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aliases w:val="m. osmani List Paragraph,Annex,Normal 1,List Paragraph1,List Paragraph (numbered (a)),Bullet List,FooterText,numbered,Paragraphe de liste1,Bulletr List Paragraph,列出段落,列出段落1,Listeafsnit1,Parágrafo da Lista1,List Paragraph2,List Paragraph21"/>
    <w:basedOn w:val="Normal"/>
    <w:link w:val="ListParagraphChar"/>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 w:type="character" w:customStyle="1" w:styleId="ListParagraphChar">
    <w:name w:val="List Paragraph Char"/>
    <w:aliases w:val="m. osmani List Paragraph Char,Annex Char,Normal 1 Char,List Paragraph1 Char,List Paragraph (numbered (a)) Char,Bullet List Char,FooterText Char,numbered Char,Paragraphe de liste1 Char,Bulletr List Paragraph Char,列出段落 Char,列出段落1 Char"/>
    <w:link w:val="ListParagraph"/>
    <w:uiPriority w:val="34"/>
    <w:qFormat/>
    <w:locked/>
    <w:rsid w:val="004A6BA8"/>
    <w:rPr>
      <w:rFonts w:ascii="Times New Roman" w:eastAsia="Times New Roman" w:hAnsi="Times New Roman" w:cs="Times New Roman"/>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4D37C-5712-4EB6-BB2F-9A774418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173</cp:revision>
  <cp:lastPrinted>2024-11-11T14:40:00Z</cp:lastPrinted>
  <dcterms:created xsi:type="dcterms:W3CDTF">2018-08-07T07:36:00Z</dcterms:created>
  <dcterms:modified xsi:type="dcterms:W3CDTF">2025-06-05T14:31:00Z</dcterms:modified>
</cp:coreProperties>
</file>