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C1B5A" w14:textId="77777777" w:rsidR="00057B2C" w:rsidRPr="00057B2C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7B2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B238956" wp14:editId="2D588933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1" w:name="_Hlk113365530"/>
      <w:bookmarkEnd w:id="1"/>
    </w:p>
    <w:p w14:paraId="3F024049" w14:textId="77777777" w:rsidR="009201D6" w:rsidRDefault="00057B2C" w:rsidP="0092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87235156"/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</w:t>
      </w:r>
      <w:r w:rsidR="009201D6">
        <w:rPr>
          <w:rFonts w:ascii="Times New Roman" w:eastAsia="Times New Roman" w:hAnsi="Times New Roman" w:cs="Times New Roman"/>
          <w:b/>
          <w:sz w:val="24"/>
          <w:szCs w:val="24"/>
        </w:rPr>
        <w:t>, B</w:t>
      </w: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URIMEVE NJERËZORE</w:t>
      </w:r>
    </w:p>
    <w:p w14:paraId="5468FC45" w14:textId="77777777" w:rsidR="00057B2C" w:rsidRPr="00057B2C" w:rsidRDefault="009201D6" w:rsidP="00057B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DHE SHËRBIMEVE MBËSHTETËSE</w:t>
      </w:r>
      <w:bookmarkEnd w:id="2"/>
    </w:p>
    <w:p w14:paraId="5AA2D568" w14:textId="77777777" w:rsidR="00AC2DC7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E1D7AA" w14:textId="77777777" w:rsidR="00BE1C98" w:rsidRDefault="00136E98" w:rsidP="00136E9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14:paraId="7A1B6946" w14:textId="77777777" w:rsidR="00136E98" w:rsidRPr="00BE1C98" w:rsidRDefault="00BE1C98" w:rsidP="00BE1C98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BE1C9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 një vend të lirë pune në kategorinë ekzekutive (specialist/e)</w:t>
      </w:r>
    </w:p>
    <w:p w14:paraId="08A29E71" w14:textId="77777777" w:rsidR="00136E98" w:rsidRPr="00E92CB5" w:rsidRDefault="00B96549" w:rsidP="00B96549">
      <w:pPr>
        <w:tabs>
          <w:tab w:val="left" w:pos="360"/>
        </w:tabs>
        <w:spacing w:befor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22 dhe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25,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152/2013 “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dhe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II, III, IV dhe VII,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18.03.2015,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bazuar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nr.8577,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10.02.2000, </w:t>
      </w:r>
      <w:r w:rsidRPr="00D31F9F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”,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3" w:name="_Hlk143169553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dhe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Gjykata Kushtetuese e Republikës së Shqipërisë shpall procedurat e lëvizjes paralele dhe të pranimit në shërbimin civil për kategorinë ekzekutive, për një vend të lirë pune në pozicionin</w:t>
      </w:r>
      <w:bookmarkEnd w:id="3"/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61A4F9D7" w14:textId="5EC740A6" w:rsidR="00136E98" w:rsidRPr="00E92CB5" w:rsidRDefault="00BE1C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</w:t>
      </w:r>
      <w:r w:rsidR="00C7125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7125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 xml:space="preserve"> dhe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Drejtorinë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Marrëdhënieve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Publikun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me Jashtë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</w:t>
      </w:r>
      <w:r w:rsidR="00B368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6E98" w:rsidRPr="0025406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kategoria </w:t>
      </w:r>
      <w:r w:rsidRPr="00254067">
        <w:rPr>
          <w:rFonts w:ascii="Times New Roman" w:hAnsi="Times New Roman" w:cs="Times New Roman"/>
          <w:b/>
          <w:sz w:val="24"/>
          <w:szCs w:val="24"/>
          <w:lang w:val="sq-AL"/>
        </w:rPr>
        <w:t>IV,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klasa 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1118E11" w14:textId="77777777" w:rsidR="00136E98" w:rsidRPr="00E92CB5" w:rsidRDefault="00136E98" w:rsidP="009201D6">
      <w:pPr>
        <w:tabs>
          <w:tab w:val="left" w:pos="36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të Gjykatës Kushtetuese.</w:t>
      </w:r>
    </w:p>
    <w:p w14:paraId="6983D74C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vakant, ai është i vlefshëm për konkurrim nëpërmjet procedurës së pranimit në shërbimin civil për kategorinë ekzekutive.</w:t>
      </w:r>
    </w:p>
    <w:p w14:paraId="01E77680" w14:textId="77777777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të dy procedurat </w:t>
      </w:r>
      <w:r w:rsidRPr="00785A5F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(lëvizje paralele dhe pranim në shërbimin civil në kategorinë ekzekutive)</w:t>
      </w: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aplikohet në të njëjtën kohë.</w:t>
      </w:r>
    </w:p>
    <w:p w14:paraId="190EAB0D" w14:textId="5126963A" w:rsidR="003F6A04" w:rsidRPr="00E92CB5" w:rsidRDefault="003F6A04" w:rsidP="003F6A04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Përshkrimi i detyrave që kryen specialisti/ja i/e </w:t>
      </w:r>
      <w:proofErr w:type="spellStart"/>
      <w:r w:rsidRPr="00C42A75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Pr="00C42A75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C42A75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Pr="00C42A75">
        <w:rPr>
          <w:rFonts w:ascii="Times New Roman" w:eastAsia="Times New Roman" w:hAnsi="Times New Roman"/>
          <w:b/>
          <w:sz w:val="24"/>
          <w:szCs w:val="24"/>
        </w:rPr>
        <w:t xml:space="preserve"> dhe </w:t>
      </w:r>
      <w:proofErr w:type="spellStart"/>
      <w:r w:rsidRPr="00C42A75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 w:rsidR="0073549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2C4D41B" w14:textId="77777777" w:rsidR="003F6A04" w:rsidRPr="00232E6F" w:rsidRDefault="003F6A04" w:rsidP="003F6A04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asiston në 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zbatimin e programeve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vizitave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delegacioneve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huaja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aspektin e organizimit logjistik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pritje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/</w:t>
      </w:r>
      <w:r>
        <w:rPr>
          <w:rFonts w:ascii="Times New Roman" w:hAnsi="Times New Roman" w:cs="Times New Roman"/>
          <w:sz w:val="24"/>
          <w:szCs w:val="24"/>
          <w:lang w:val="sq-AL"/>
        </w:rPr>
        <w:t>shoqërimit/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rcjelljes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dhe sigurisë 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tyre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duke bashkëpunuar me strukturat përkatëse shtetërore dhe protokollare;</w:t>
      </w:r>
    </w:p>
    <w:p w14:paraId="340A0D77" w14:textId="77777777" w:rsidR="003F6A04" w:rsidRPr="00232E6F" w:rsidRDefault="003F6A04" w:rsidP="003F6A04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siston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organizimin e takimeve zyrtare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Kryetarit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Gjykat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s dhe trup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gjyqtar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ve me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rfaq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>sues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vendas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huaj, si dhe me gjykatat homologe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475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duke zbatuar rregullat protokollare përkatëse, si rendi i pritjes, i akomodimit në sallë, simbolet kombëtare, etj.;</w:t>
      </w:r>
    </w:p>
    <w:p w14:paraId="00B3592A" w14:textId="77777777" w:rsidR="003F6A04" w:rsidRPr="00232E6F" w:rsidRDefault="003F6A04" w:rsidP="003F6A04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ndjek procedurën e dhënies së dhuratave simbolike nga Kryetari i Gjykatës dhe gjyqtarët gjatë takimeve zyrtare me personalitetet e larta vendase dhe të huaja në përputhje me aktet ligjore në fuqi;</w:t>
      </w:r>
    </w:p>
    <w:p w14:paraId="7B7045F2" w14:textId="77777777" w:rsidR="003F6A04" w:rsidRPr="00232E6F" w:rsidRDefault="003F6A04" w:rsidP="003F6A04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merr pjesë, kur është e nevojshme, në takime zyrtare me delegacione të huaja ose në pritje ku merr pjesë Kryetari i Gjykatës/trupa e gjyqtarëve, si dhe në veprimtari ndërkombëtare që </w:t>
      </w: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zhvillohen jashtë vendit ku përfaqësohet Gjykata Kushtetuese, duke asistuar me aspektet e nevojshme organizative dhe logjistike;</w:t>
      </w:r>
    </w:p>
    <w:p w14:paraId="1D383CC5" w14:textId="77777777" w:rsidR="003F6A04" w:rsidRPr="00232E6F" w:rsidRDefault="003F6A04" w:rsidP="003F6A04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përgatit listën e personaliteteve vendase dhe të huaja të cilave u dërgohen urime me rastin e festave kombëtare apo festave të fundvitit;</w:t>
      </w:r>
    </w:p>
    <w:p w14:paraId="11800725" w14:textId="77777777" w:rsidR="003F6A04" w:rsidRPr="00232E6F" w:rsidRDefault="003F6A04" w:rsidP="003F6A04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asiston në përkthimin e materialeve që kërkohen nga gjyqtarët në funksion të vendimmarrjes gjyqësore;</w:t>
      </w:r>
    </w:p>
    <w:p w14:paraId="779EC50B" w14:textId="77777777" w:rsidR="003F6A04" w:rsidRPr="00E92CB5" w:rsidRDefault="003F6A04" w:rsidP="003F6A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ç</w:t>
      </w: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do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detyrë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tjetër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ngarkohet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nga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eprori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q-AL"/>
        </w:rPr>
        <w:t>direk</w:t>
      </w: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4CCB080B" w14:textId="77777777" w:rsidR="00136E98" w:rsidRPr="00E92CB5" w:rsidRDefault="00136E98" w:rsidP="009201D6">
      <w:pPr>
        <w:tabs>
          <w:tab w:val="left" w:pos="360"/>
        </w:tabs>
        <w:spacing w:before="20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KUSHTET PËR L</w:t>
      </w:r>
      <w:r w:rsidR="000574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VIZJEN PARALELE DHE KRITERET 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24007DF1" w14:textId="45951A89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procedurën e pranimit me lëvizje paralele 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fillon m</w:t>
      </w:r>
      <w:r w:rsidR="0006111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06111B">
        <w:rPr>
          <w:rFonts w:ascii="Times New Roman" w:hAnsi="Times New Roman" w:cs="Times New Roman"/>
          <w:b/>
          <w:sz w:val="24"/>
          <w:szCs w:val="24"/>
          <w:lang w:val="sq-AL"/>
        </w:rPr>
        <w:t>22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06111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në datën </w:t>
      </w:r>
      <w:r w:rsidR="00CA61F1">
        <w:rPr>
          <w:rFonts w:ascii="Times New Roman" w:hAnsi="Times New Roman" w:cs="Times New Roman"/>
          <w:b/>
          <w:sz w:val="24"/>
          <w:szCs w:val="24"/>
          <w:lang w:val="sq-AL"/>
        </w:rPr>
        <w:t>01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CA61F1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EC4843" w14:textId="77777777" w:rsidR="00136E98" w:rsidRPr="00E92CB5" w:rsidRDefault="00136E98" w:rsidP="002F3DD6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9C0168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plotësojë kandidati për këtë procedurë janë:</w:t>
      </w:r>
    </w:p>
    <w:p w14:paraId="209D17A5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45A0DE99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47885C43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55485785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të përcaktuara në shpalljen për konkurrim.</w:t>
      </w:r>
    </w:p>
    <w:p w14:paraId="029D40F7" w14:textId="505E2083" w:rsidR="003F6A04" w:rsidRPr="00E92CB5" w:rsidRDefault="003F6A04" w:rsidP="003F6A04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</w:t>
      </w:r>
      <w:proofErr w:type="spellStart"/>
      <w:r w:rsidRPr="00232E6F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Pr="00232E6F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232E6F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Pr="00232E6F">
        <w:rPr>
          <w:rFonts w:ascii="Times New Roman" w:eastAsia="Times New Roman" w:hAnsi="Times New Roman"/>
          <w:b/>
          <w:sz w:val="24"/>
          <w:szCs w:val="24"/>
        </w:rPr>
        <w:t xml:space="preserve"> dhe </w:t>
      </w:r>
      <w:proofErr w:type="spellStart"/>
      <w:r w:rsidRPr="00232E6F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7354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D2085D" w14:textId="77777777" w:rsidR="003F6A04" w:rsidRPr="009201D6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4" w:name="_Hlk187243575"/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mbaruar studimet universitare në </w:t>
      </w:r>
      <w:r w:rsidRPr="00DD3BB3">
        <w:rPr>
          <w:rFonts w:ascii="Times New Roman" w:hAnsi="Times New Roman" w:cs="Times New Roman"/>
          <w:sz w:val="24"/>
          <w:szCs w:val="24"/>
          <w:lang w:val="sq-AL"/>
        </w:rPr>
        <w:t xml:space="preserve">Fakultetin e Gjuhëve të Huaja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gjuhën gjermane.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97C050" w14:textId="77777777" w:rsidR="003F6A04" w:rsidRPr="00C42A75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ketë eksperiencë </w:t>
      </w:r>
      <w:r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në fushën e marrëdhënieve me jashtë dhe </w:t>
      </w:r>
      <w:r>
        <w:rPr>
          <w:rFonts w:ascii="Times New Roman" w:hAnsi="Times New Roman" w:cs="Times New Roman"/>
          <w:sz w:val="24"/>
          <w:szCs w:val="24"/>
          <w:lang w:val="sq-AL"/>
        </w:rPr>
        <w:t>me publikun</w:t>
      </w:r>
      <w:r w:rsidRPr="00C42A7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9B99673" w14:textId="77777777" w:rsidR="003F6A04" w:rsidRPr="007A21A1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>Të ketë përvojë pune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veçanërisht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 në fushën 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organizimit të aktiviteteve dhe </w:t>
      </w:r>
      <w:r w:rsidRPr="00F01606">
        <w:rPr>
          <w:rFonts w:ascii="Times New Roman" w:hAnsi="Times New Roman" w:cs="Times New Roman"/>
          <w:sz w:val="24"/>
          <w:szCs w:val="24"/>
          <w:lang w:val="sq-AL"/>
        </w:rPr>
        <w:t xml:space="preserve">përkthimit ose mësimdhënies për më shumë se 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F01606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FCDAE5E" w14:textId="77777777" w:rsidR="003F6A04" w:rsidRPr="009C0168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Njohja e </w:t>
      </w:r>
      <w:r>
        <w:rPr>
          <w:rFonts w:ascii="Times New Roman" w:hAnsi="Times New Roman" w:cs="Times New Roman"/>
          <w:sz w:val="24"/>
          <w:szCs w:val="24"/>
          <w:lang w:val="sq-AL"/>
        </w:rPr>
        <w:t>dy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ose më shumë gjuhëve të huaja të BE-së, </w:t>
      </w:r>
      <w:r>
        <w:rPr>
          <w:rFonts w:ascii="Times New Roman" w:hAnsi="Times New Roman" w:cs="Times New Roman"/>
          <w:sz w:val="24"/>
          <w:szCs w:val="24"/>
          <w:lang w:val="sq-AL"/>
        </w:rPr>
        <w:t>veçanërisht në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gjuhën angleze, përbën avantazh;</w:t>
      </w:r>
    </w:p>
    <w:p w14:paraId="60A717E6" w14:textId="77777777" w:rsidR="003F6A04" w:rsidRPr="00E92CB5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054CC4E6" w14:textId="77777777" w:rsidR="003F6A04" w:rsidRPr="00E92CB5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në grup;</w:t>
      </w:r>
    </w:p>
    <w:p w14:paraId="6D2A6612" w14:textId="77777777" w:rsidR="003F6A04" w:rsidRPr="00E92CB5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E9ABB6D" w14:textId="77777777" w:rsidR="003F6A04" w:rsidRDefault="003F6A04" w:rsidP="003F6A04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bookmarkEnd w:id="4"/>
    <w:p w14:paraId="73017126" w14:textId="77777777" w:rsidR="00136E98" w:rsidRPr="00E92CB5" w:rsidRDefault="00136E98" w:rsidP="009201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195EC321" w14:textId="6AF11E59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në bazë të dokumentacionit të paraqitur,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8449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03</w:t>
      </w:r>
      <w:r w:rsidR="000405B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.0</w:t>
      </w:r>
      <w:r w:rsidR="0078449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6</w:t>
      </w:r>
      <w:r w:rsidR="000405B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.2025</w:t>
      </w:r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1A411E" w:rsidRPr="00EB06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A411E" w:rsidRPr="00EB0634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="001A411E"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63709A6F" w14:textId="54712CAD" w:rsidR="00136E98" w:rsidRPr="00E92CB5" w:rsidRDefault="001A411E" w:rsidP="009201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</w:rPr>
        <w:t>paraprake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shpallet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dat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784491">
        <w:rPr>
          <w:rFonts w:ascii="Times New Roman" w:eastAsia="Calibri" w:hAnsi="Times New Roman" w:cs="Times New Roman"/>
          <w:b/>
          <w:spacing w:val="-5"/>
          <w:sz w:val="24"/>
          <w:szCs w:val="24"/>
        </w:rPr>
        <w:t>05</w:t>
      </w:r>
      <w:r w:rsidR="000405B4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784491">
        <w:rPr>
          <w:rFonts w:ascii="Times New Roman" w:eastAsia="Calibri" w:hAnsi="Times New Roman" w:cs="Times New Roman"/>
          <w:b/>
          <w:spacing w:val="-5"/>
          <w:sz w:val="24"/>
          <w:szCs w:val="24"/>
        </w:rPr>
        <w:t>6</w:t>
      </w:r>
      <w:r w:rsidR="000405B4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.2025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71E17F2B" w14:textId="77777777" w:rsidR="00136E98" w:rsidRPr="00E92CB5" w:rsidRDefault="00136E98" w:rsidP="009201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që nuk kualifikohen do të njoftohen individualisht nga njësia përgjegjëse për shkaqet e mos kualifikimit, në të njëjtën ditë me shpalljen e listës së verifikimit paraprak.</w:t>
      </w:r>
    </w:p>
    <w:p w14:paraId="72D89592" w14:textId="5E08116F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t, të cilët rezultojnë të pakualifikuar, brenda 3 (tri) ditëve kalendarike nga data e njoftimit individual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nga data </w:t>
      </w:r>
      <w:r w:rsidR="00784491">
        <w:rPr>
          <w:rFonts w:ascii="Times New Roman" w:hAnsi="Times New Roman" w:cs="Times New Roman"/>
          <w:i/>
          <w:sz w:val="24"/>
          <w:szCs w:val="24"/>
          <w:lang w:val="sq-AL"/>
        </w:rPr>
        <w:t>05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784491">
        <w:rPr>
          <w:rFonts w:ascii="Times New Roman" w:hAnsi="Times New Roman" w:cs="Times New Roman"/>
          <w:i/>
          <w:sz w:val="24"/>
          <w:szCs w:val="24"/>
          <w:lang w:val="sq-AL"/>
        </w:rPr>
        <w:t>6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deri 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ë 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784491">
        <w:rPr>
          <w:rFonts w:ascii="Times New Roman" w:hAnsi="Times New Roman" w:cs="Times New Roman"/>
          <w:i/>
          <w:sz w:val="24"/>
          <w:szCs w:val="24"/>
          <w:lang w:val="sq-AL"/>
        </w:rPr>
        <w:t>08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784491">
        <w:rPr>
          <w:rFonts w:ascii="Times New Roman" w:hAnsi="Times New Roman" w:cs="Times New Roman"/>
          <w:i/>
          <w:sz w:val="24"/>
          <w:szCs w:val="24"/>
          <w:lang w:val="sq-AL"/>
        </w:rPr>
        <w:t>6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lastRenderedPageBreak/>
        <w:t>përgjegjëse. Ankesat zgjidhen brenda 5 (pesë) ditëve kalendarike nga data e përfundimit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</w:t>
      </w:r>
      <w:r w:rsidRPr="00785A5F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 xml:space="preserve">në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BA351E">
        <w:rPr>
          <w:rFonts w:ascii="Times New Roman" w:hAnsi="Times New Roman" w:cs="Times New Roman"/>
          <w:i/>
          <w:sz w:val="24"/>
          <w:szCs w:val="24"/>
          <w:lang w:val="sq-AL"/>
        </w:rPr>
        <w:t>13</w:t>
      </w:r>
      <w:r w:rsidR="006220DE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i/>
          <w:sz w:val="24"/>
          <w:szCs w:val="24"/>
          <w:lang w:val="sq-AL"/>
        </w:rPr>
        <w:t>6</w:t>
      </w:r>
      <w:r w:rsidR="006220DE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9EEF31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5EF13064" w14:textId="7CACC40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65DA679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06C4B79E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aplikim, e cila duhet të përmbajë në formë të përmbledhur kërkesën për punësim në pozicionin e shpallur. Kërkesa në formë të përmbledhur të përmbajë:</w:t>
      </w:r>
    </w:p>
    <w:p w14:paraId="43C4DEDF" w14:textId="77777777" w:rsidR="00136E98" w:rsidRPr="00E92CB5" w:rsidRDefault="00136E98" w:rsidP="00136E98">
      <w:pPr>
        <w:tabs>
          <w:tab w:val="left" w:pos="284"/>
        </w:tabs>
        <w:spacing w:before="120" w:after="0" w:line="240" w:lineRule="auto"/>
        <w:ind w:left="272" w:hanging="1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kandidatit; adresa e saktë e banimit; numri i telefonit dhe celularit; adresa e e-mail-it; data e kërkesës; emri, mbiemri me shkrim dore si dhe nënshkrimi;</w:t>
      </w:r>
    </w:p>
    <w:p w14:paraId="72A6ECDF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08DA1B6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32590F29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të marra.</w:t>
      </w:r>
    </w:p>
    <w:p w14:paraId="1DA77735" w14:textId="33205D38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punës (të gjitha faqet që vërtetojnë eksperiencën në punë).</w:t>
      </w:r>
    </w:p>
    <w:p w14:paraId="3C94E187" w14:textId="77777777" w:rsidR="00136E98" w:rsidRPr="00E92CB5" w:rsidRDefault="00136E98" w:rsidP="00785A5F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369CD78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 të dytë </w:t>
      </w:r>
      <w:r w:rsidR="003A5448" w:rsidRPr="003A5448">
        <w:rPr>
          <w:rFonts w:ascii="Times New Roman" w:hAnsi="Times New Roman" w:cs="Times New Roman"/>
          <w:i/>
          <w:sz w:val="24"/>
          <w:szCs w:val="24"/>
          <w:lang w:val="sq-AL"/>
        </w:rPr>
        <w:t>(në rast se ka)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A043313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4E28371E" w14:textId="77777777" w:rsidR="00785A5F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77D76438" w14:textId="77777777" w:rsidR="00136E98" w:rsidRPr="00E92CB5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1D2CAEE2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563DD55D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1D2F32A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36B69FF6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15. Vërtetimin nga institucioni që ka punuar dhe që nuk ka masë disiplinore në fuqi.</w:t>
      </w:r>
    </w:p>
    <w:p w14:paraId="172366CD" w14:textId="77777777" w:rsidR="00136E98" w:rsidRDefault="00136E98" w:rsidP="00785A5F">
      <w:pPr>
        <w:tabs>
          <w:tab w:val="left" w:pos="360"/>
        </w:tabs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16.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442B966C" w14:textId="77777777" w:rsidR="00136E98" w:rsidRPr="00E92CB5" w:rsidRDefault="00136E98" w:rsidP="00785A5F">
      <w:pPr>
        <w:tabs>
          <w:tab w:val="left" w:pos="360"/>
        </w:tabs>
        <w:spacing w:before="20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57367FCE" w14:textId="77777777" w:rsidR="00136E98" w:rsidRPr="00E92CB5" w:rsidRDefault="00136E98" w:rsidP="00785A5F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60D1E21E" w14:textId="56343F65" w:rsidR="00136E98" w:rsidRPr="00E92CB5" w:rsidRDefault="00136E98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Mbështetëse.</w:t>
      </w:r>
    </w:p>
    <w:p w14:paraId="6EDC8265" w14:textId="77777777" w:rsidR="00136E98" w:rsidRPr="00E92CB5" w:rsidRDefault="00136E98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C83534E" w14:textId="77777777" w:rsidR="00136E98" w:rsidRPr="00E92CB5" w:rsidRDefault="00136E98" w:rsidP="00785A5F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751F9F7D" w14:textId="629783E6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Shqipërisë; Ligjin për organizimin e funksionimin e Gjykatës Kushtetuese; Rregulloren e brendshme, ligjin për statusin e nëpunësit civil, </w:t>
      </w:r>
      <w:r w:rsidR="00E82474"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ceremonialin </w:t>
      </w:r>
      <w:r w:rsidR="00C42A75"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zyrtar të </w:t>
      </w:r>
      <w:r w:rsidR="00C42A75" w:rsidRPr="00E92CB5">
        <w:rPr>
          <w:rFonts w:ascii="Times New Roman" w:hAnsi="Times New Roman" w:cs="Times New Roman"/>
          <w:sz w:val="24"/>
          <w:szCs w:val="24"/>
          <w:lang w:val="sq-AL"/>
        </w:rPr>
        <w:t>Republikës së Shqipërisë</w:t>
      </w:r>
      <w:r w:rsidR="006220D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ligjin për rregullat e etikës në administratën publike, ligjin për të drejtën e informimit për dokumentet zyrtare, ligjin për mbrojtjen e të dhënave personale, 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njohuri t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lastRenderedPageBreak/>
        <w:t>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rgjithshme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>njohjen e terminologjis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juridike n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>rkthimin e materialeve t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ndryshme juridik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dhe administrative.</w:t>
      </w:r>
    </w:p>
    <w:p w14:paraId="59367B8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të kandidatëve</w:t>
      </w:r>
    </w:p>
    <w:p w14:paraId="1A2E4429" w14:textId="77777777" w:rsidR="001A411E" w:rsidRDefault="001A411E" w:rsidP="00136E9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omisioni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ëvizjen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(KBLP)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F9A95D" w14:textId="688BA90F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në mjediset e Gjykatës Kushtetuese 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AC4738"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A222ED"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8</w:t>
      </w:r>
      <w:r w:rsidR="00254067"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A222ED"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="00254067"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.2025</w:t>
      </w:r>
      <w:r w:rsidR="00785A5F"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, ora 10:30</w:t>
      </w:r>
      <w:r w:rsidRPr="00A222ED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33E35823" w14:textId="04702D9D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ndiqen për kandidat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 është e përcaktuar në 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i ndryshuar. Struktura e ndarjes së pikëve të vlerësimit të kandidateve, është si me poshtë vijon:</w:t>
      </w:r>
    </w:p>
    <w:p w14:paraId="33B8FA3A" w14:textId="77777777" w:rsidR="00136E98" w:rsidRPr="00E92CB5" w:rsidRDefault="00136E98" w:rsidP="00FA24F9">
      <w:pPr>
        <w:tabs>
          <w:tab w:val="left" w:pos="360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ertifikimin pozitiv ose për vlerësimet e rezultateve individuale në punë në rastet kur procesi i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ertifikimit nuk është kryer; </w:t>
      </w:r>
    </w:p>
    <w:p w14:paraId="5A644FCC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55561EF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63EE21F3" w14:textId="5E929874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për çdo fazë të procedurës për kandidatët do të bëhet me e-mail, celular dhe sipas rastit në këndin e informacionit të institucionit dhe në portalin e 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Komb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tare 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Pun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simit dhe Aft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9940AB" w14:textId="77777777" w:rsidR="00C42A75" w:rsidRPr="00E92CB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52AE59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083A7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14:paraId="11F75816" w14:textId="1ECEF6D9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Dorëzimi 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22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01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58FB0FF8" w14:textId="3951AB16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32A07DFA" w14:textId="1D07468E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BA351E">
        <w:rPr>
          <w:rFonts w:ascii="Times New Roman" w:eastAsia="Arial" w:hAnsi="Times New Roman" w:cs="Times New Roman"/>
          <w:sz w:val="24"/>
          <w:szCs w:val="24"/>
          <w:lang w:val="sq-AL"/>
        </w:rPr>
        <w:t>05</w:t>
      </w:r>
      <w:r w:rsidR="001A411E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eastAsia="Arial" w:hAnsi="Times New Roman" w:cs="Times New Roman"/>
          <w:sz w:val="24"/>
          <w:szCs w:val="24"/>
          <w:lang w:val="sq-AL"/>
        </w:rPr>
        <w:t>6</w:t>
      </w:r>
      <w:r w:rsidR="001A411E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254067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520DB457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3 ditë kalendarike nga data e shpalljes</w:t>
      </w:r>
    </w:p>
    <w:p w14:paraId="72CC433F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deri n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5 ditë kalendarike nga data e </w:t>
      </w:r>
    </w:p>
    <w:p w14:paraId="213CB955" w14:textId="77777777" w:rsidR="00136E98" w:rsidRPr="00E92CB5" w:rsidRDefault="00136E98" w:rsidP="00966D0F">
      <w:pPr>
        <w:tabs>
          <w:tab w:val="left" w:pos="360"/>
        </w:tabs>
        <w:spacing w:after="6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të ankimit.</w:t>
      </w:r>
    </w:p>
    <w:p w14:paraId="319EA5A8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përfundimtare e kandidat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 të</w:t>
      </w:r>
    </w:p>
    <w:p w14:paraId="2E45E537" w14:textId="3B54231B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ualifikuar:</w:t>
      </w:r>
      <w:r w:rsidRPr="00E92CB5"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 w:rsidR="00AC4738" w:rsidRPr="00AC473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4A7737E3" w14:textId="3EC3854B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5AA7CF30" w14:textId="4E5E0580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KBLP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72C44877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ditë kalendarike nga data e shpalljes</w:t>
      </w:r>
    </w:p>
    <w:p w14:paraId="6F1CE9E0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43451EE6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deri në 3 ditë kalendarike nga data e </w:t>
      </w:r>
    </w:p>
    <w:p w14:paraId="4DBF4661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14:paraId="3DFBD580" w14:textId="6102BB42" w:rsidR="001A411E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1F9ABA43" w14:textId="30CC5210" w:rsidR="00C42A75" w:rsidRDefault="00136E98" w:rsidP="004F6723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A35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2D39CE9A" w14:textId="77777777" w:rsidR="003F6A04" w:rsidRDefault="003F6A04" w:rsidP="00C561C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DE86C37" w14:textId="78E967A3" w:rsidR="00136E98" w:rsidRPr="00E92CB5" w:rsidRDefault="00136E98" w:rsidP="00C561C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14:paraId="288C4596" w14:textId="5AE84EEA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vendit të lirë në pozicionin </w:t>
      </w:r>
      <w:bookmarkStart w:id="5" w:name="_Hlk187235224"/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“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Specialist/e i/e nivelit të lartë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54067" w:rsidRPr="00254067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marrëdhënieve</w:t>
      </w:r>
      <w:proofErr w:type="spellEnd"/>
      <w:r w:rsidR="00254067" w:rsidRPr="00254067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jashtë</w:t>
      </w:r>
      <w:proofErr w:type="spellEnd"/>
      <w:r w:rsidR="00254067" w:rsidRPr="00254067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protokollare</w:t>
      </w:r>
      <w:proofErr w:type="spellEnd"/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r w:rsidR="00BE1C98" w:rsidRPr="00BE1C98">
        <w:rPr>
          <w:rFonts w:ascii="Times New Roman" w:hAnsi="Times New Roman" w:cs="Times New Roman"/>
          <w:sz w:val="24"/>
          <w:szCs w:val="24"/>
          <w:lang w:val="sq-AL"/>
        </w:rPr>
        <w:t>kategoria IV, klasa I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II</w:t>
      </w:r>
      <w:r w:rsidR="00BE1C98" w:rsidRPr="00BE1C98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”</w:t>
      </w:r>
      <w:bookmarkEnd w:id="5"/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paralele, rezulton i paplotësuar do të ndiqet procedura për pranimin në shërbimin civil për kategorinë ekzekutive. Të gjithë kandidatët duhet të plotësojnë kërkesat e veçanta dhe ato të përgjithshme 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nenit 21, të ligjit </w:t>
      </w:r>
      <w:r w:rsidR="00A222ED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152/2013 “Për nëpunësin civil”, i ndryshuar.</w:t>
      </w:r>
    </w:p>
    <w:p w14:paraId="28564989" w14:textId="0F77F749" w:rsidR="00136E98" w:rsidRPr="00BE1C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Pr="00BE1C98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durën e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pranimit në shërbimin civil fillon në datën</w:t>
      </w:r>
      <w:r w:rsidR="009C77F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</w:t>
      </w:r>
      <w:r w:rsidR="00A222E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22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A222E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.2025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në datën </w:t>
      </w:r>
      <w:r w:rsidR="002150B0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06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F5436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6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.2025</w:t>
      </w:r>
      <w:r w:rsid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114FCF89" w14:textId="77777777" w:rsidR="00BE1C98" w:rsidRDefault="00BE1C98" w:rsidP="002F3DD6">
      <w:pPr>
        <w:tabs>
          <w:tab w:val="left" w:pos="360"/>
        </w:tabs>
        <w:spacing w:before="200" w:after="120"/>
        <w:jc w:val="both"/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</w:pP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</w:t>
      </w:r>
      <w:proofErr w:type="spellEnd"/>
      <w:r w:rsidR="00136E98"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:</w:t>
      </w:r>
    </w:p>
    <w:p w14:paraId="3DD9682D" w14:textId="77777777" w:rsidR="00136E98" w:rsidRPr="00E92CB5" w:rsidRDefault="00136E98" w:rsidP="00335014">
      <w:pPr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587E6308" w14:textId="77777777" w:rsidR="00136E98" w:rsidRPr="00E92CB5" w:rsidRDefault="00136E98" w:rsidP="0033501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</w:p>
    <w:p w14:paraId="1D860321" w14:textId="46121B94" w:rsidR="003F6A04" w:rsidRPr="00E92CB5" w:rsidRDefault="003F6A04" w:rsidP="003F6A04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</w:t>
      </w:r>
      <w:proofErr w:type="spellStart"/>
      <w:r w:rsidRPr="00232E6F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Pr="00232E6F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232E6F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Pr="00232E6F">
        <w:rPr>
          <w:rFonts w:ascii="Times New Roman" w:eastAsia="Times New Roman" w:hAnsi="Times New Roman"/>
          <w:b/>
          <w:sz w:val="24"/>
          <w:szCs w:val="24"/>
        </w:rPr>
        <w:t xml:space="preserve"> dhe </w:t>
      </w:r>
      <w:proofErr w:type="spellStart"/>
      <w:r w:rsidRPr="00232E6F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7354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32D5B7" w14:textId="77777777" w:rsidR="003F6A04" w:rsidRPr="009201D6" w:rsidRDefault="003F6A04" w:rsidP="003F6A04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mbaruar studimet universitare në </w:t>
      </w:r>
      <w:r w:rsidRPr="00DD3BB3">
        <w:rPr>
          <w:rFonts w:ascii="Times New Roman" w:hAnsi="Times New Roman" w:cs="Times New Roman"/>
          <w:sz w:val="24"/>
          <w:szCs w:val="24"/>
          <w:lang w:val="sq-AL"/>
        </w:rPr>
        <w:t xml:space="preserve">Fakultetin e Gjuhëve të Huaja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gjuhën gjermane.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3DA751" w14:textId="77777777" w:rsidR="003F6A04" w:rsidRPr="00C42A75" w:rsidRDefault="003F6A04" w:rsidP="003F6A04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60" w:after="0" w:line="240" w:lineRule="auto"/>
        <w:ind w:hanging="144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ketë eksperiencë </w:t>
      </w:r>
      <w:r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në fushën e marrëdhënieve me jashtë dhe </w:t>
      </w:r>
      <w:r>
        <w:rPr>
          <w:rFonts w:ascii="Times New Roman" w:hAnsi="Times New Roman" w:cs="Times New Roman"/>
          <w:sz w:val="24"/>
          <w:szCs w:val="24"/>
          <w:lang w:val="sq-AL"/>
        </w:rPr>
        <w:t>me publikun</w:t>
      </w:r>
      <w:r w:rsidRPr="00C42A7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E48C676" w14:textId="77777777" w:rsidR="003F6A04" w:rsidRPr="007A21A1" w:rsidRDefault="003F6A04" w:rsidP="003F6A04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>Të ketë përvojë pune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veçanërisht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 në fushën 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organizimit të aktiviteteve dhe </w:t>
      </w:r>
      <w:r w:rsidRPr="00F01606">
        <w:rPr>
          <w:rFonts w:ascii="Times New Roman" w:hAnsi="Times New Roman" w:cs="Times New Roman"/>
          <w:sz w:val="24"/>
          <w:szCs w:val="24"/>
          <w:lang w:val="sq-AL"/>
        </w:rPr>
        <w:t>përkthimit ose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01606">
        <w:rPr>
          <w:rFonts w:ascii="Times New Roman" w:hAnsi="Times New Roman" w:cs="Times New Roman"/>
          <w:sz w:val="24"/>
          <w:szCs w:val="24"/>
          <w:lang w:val="sq-AL"/>
        </w:rPr>
        <w:t xml:space="preserve">mësimdhënies për më shumë se 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F01606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8F27668" w14:textId="77777777" w:rsidR="003F6A04" w:rsidRPr="009C0168" w:rsidRDefault="003F6A04" w:rsidP="003F6A04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360"/>
          <w:tab w:val="left" w:pos="108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Njohja e </w:t>
      </w:r>
      <w:r>
        <w:rPr>
          <w:rFonts w:ascii="Times New Roman" w:hAnsi="Times New Roman" w:cs="Times New Roman"/>
          <w:sz w:val="24"/>
          <w:szCs w:val="24"/>
          <w:lang w:val="sq-AL"/>
        </w:rPr>
        <w:t>dy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ose më shumë gjuhëve të huaja të BE-së, </w:t>
      </w:r>
      <w:r>
        <w:rPr>
          <w:rFonts w:ascii="Times New Roman" w:hAnsi="Times New Roman" w:cs="Times New Roman"/>
          <w:sz w:val="24"/>
          <w:szCs w:val="24"/>
          <w:lang w:val="sq-AL"/>
        </w:rPr>
        <w:t>veçanërisht në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gjuhën angleze, përbën avantazh;</w:t>
      </w:r>
    </w:p>
    <w:p w14:paraId="68B54FF1" w14:textId="77777777" w:rsidR="003F6A04" w:rsidRPr="00E92CB5" w:rsidRDefault="003F6A04" w:rsidP="003F6A04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1527DF15" w14:textId="41298D11" w:rsidR="009E29B0" w:rsidRPr="003F6A04" w:rsidRDefault="003F6A04" w:rsidP="003F6A04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60" w:after="0" w:line="240" w:lineRule="auto"/>
        <w:ind w:hanging="144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në grup;</w:t>
      </w:r>
    </w:p>
    <w:p w14:paraId="35A5E5EC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procedurën e pranimit në shërbimin civil:</w:t>
      </w:r>
    </w:p>
    <w:p w14:paraId="3872588A" w14:textId="77777777" w:rsidR="00136E98" w:rsidRPr="00E92CB5" w:rsidRDefault="00136E98" w:rsidP="00335014">
      <w:pPr>
        <w:tabs>
          <w:tab w:val="left" w:pos="360"/>
        </w:tabs>
        <w:spacing w:after="12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plotësojnë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</w:t>
      </w:r>
      <w:r w:rsidR="009201D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, të përcaktuara në shpalljen për konkurrim;</w:t>
      </w:r>
    </w:p>
    <w:p w14:paraId="15BB7CC1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kandidatëve.</w:t>
      </w:r>
    </w:p>
    <w:p w14:paraId="54ADAAB0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257A1315" w14:textId="3B6FD762" w:rsidR="00335014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bazë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të dokumentacionit të paraqitur,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543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</w:t>
      </w:r>
      <w:r w:rsidR="00065BD7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6.0</w:t>
      </w:r>
      <w:r w:rsidR="00F543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6</w:t>
      </w:r>
      <w:r w:rsidR="009201D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.2025</w:t>
      </w:r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335014"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573ACABE" w14:textId="6101A43D" w:rsidR="00335014" w:rsidRPr="00685B8B" w:rsidRDefault="00335014" w:rsidP="003350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z w:val="24"/>
          <w:szCs w:val="24"/>
        </w:rPr>
        <w:t>e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685B8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685B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të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publikohet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më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datën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F54364">
        <w:rPr>
          <w:rFonts w:ascii="Times New Roman" w:eastAsia="Calibri" w:hAnsi="Times New Roman" w:cs="Times New Roman"/>
          <w:b/>
          <w:spacing w:val="-5"/>
          <w:sz w:val="24"/>
          <w:szCs w:val="24"/>
        </w:rPr>
        <w:t>20</w:t>
      </w:r>
      <w:r w:rsidR="00BF303A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F54364">
        <w:rPr>
          <w:rFonts w:ascii="Times New Roman" w:eastAsia="Calibri" w:hAnsi="Times New Roman" w:cs="Times New Roman"/>
          <w:b/>
          <w:spacing w:val="-5"/>
          <w:sz w:val="24"/>
          <w:szCs w:val="24"/>
        </w:rPr>
        <w:t>6</w:t>
      </w:r>
      <w:r w:rsidR="00BF303A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.2025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0580CB1F" w14:textId="77777777" w:rsidR="00136E98" w:rsidRPr="00E92CB5" w:rsidRDefault="00136E98" w:rsidP="00335014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që nuk kualifikohen do të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për shkaqet e moskualifikimit, në të njëjtën ditë 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së 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38FD0D8C" w14:textId="77777777" w:rsidR="00BC4F75" w:rsidRDefault="00BC4F75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14:paraId="5EFD90EB" w14:textId="7DDEDDF1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Kandidatët, të cilët rezultojnë të pakualifikuar, brenda 5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F5436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20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F5436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.2025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në datën </w:t>
      </w:r>
      <w:r w:rsidR="00F5436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25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F5436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.2025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lastRenderedPageBreak/>
        <w:t xml:space="preserve">përgjegjëse.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përfundimit të afatit të ankimit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(deri në datën </w:t>
      </w:r>
      <w:r w:rsidR="00F5436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30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F5436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.2025</w:t>
      </w:r>
      <w:r w:rsidRPr="00335014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40AD782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59E6BEB7" w14:textId="13FBEBA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F5436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F54364">
        <w:rPr>
          <w:rFonts w:ascii="Times New Roman" w:hAnsi="Times New Roman" w:cs="Times New Roman"/>
          <w:sz w:val="24"/>
          <w:szCs w:val="24"/>
          <w:lang w:val="sq-AL"/>
        </w:rPr>
        <w:t xml:space="preserve">dhe Shërbimeve Mbështetëse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042F50D2" w14:textId="77777777" w:rsidR="00136E98" w:rsidRPr="00E92CB5" w:rsidRDefault="00136E98" w:rsidP="00966D0F">
      <w:pPr>
        <w:tabs>
          <w:tab w:val="left" w:pos="360"/>
        </w:tabs>
        <w:spacing w:before="120" w:after="60" w:line="240" w:lineRule="auto"/>
        <w:ind w:left="270" w:hanging="4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263C2FB4" w14:textId="77777777" w:rsidR="00136E98" w:rsidRPr="00E92C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6DFED4B2" w14:textId="77777777" w:rsidR="00136E98" w:rsidRPr="00E92CB5" w:rsidRDefault="00136E98" w:rsidP="00335014">
      <w:pPr>
        <w:spacing w:after="60" w:line="240" w:lineRule="auto"/>
        <w:ind w:left="270" w:hanging="12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6432955E" w14:textId="77777777" w:rsidR="00136E98" w:rsidRPr="00E92CB5" w:rsidRDefault="00136E98" w:rsidP="00136E98">
      <w:pPr>
        <w:tabs>
          <w:tab w:val="left" w:pos="360"/>
        </w:tabs>
        <w:spacing w:after="60" w:line="240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nënshkrimi;</w:t>
      </w:r>
    </w:p>
    <w:p w14:paraId="039915C9" w14:textId="77777777" w:rsidR="00136E98" w:rsidRPr="00E92C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22E5834F" w14:textId="77777777" w:rsidR="00136E98" w:rsidRPr="00E92C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59EB258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2D0B458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2476CFDE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7D11353C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18344AD7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2927E051" w14:textId="77777777" w:rsidR="00136E98" w:rsidRPr="00E92CB5" w:rsidRDefault="00136E98" w:rsidP="00335014">
      <w:pPr>
        <w:tabs>
          <w:tab w:val="left" w:pos="284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79D53E77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4CA6088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62E5FA46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 në rast se ka, mundësisht nga punëdhënësi i fundit.</w:t>
      </w:r>
    </w:p>
    <w:p w14:paraId="2BBF4A77" w14:textId="77777777" w:rsidR="00136E98" w:rsidRPr="00E92CB5" w:rsidRDefault="00136E98" w:rsidP="00335014">
      <w:pPr>
        <w:tabs>
          <w:tab w:val="left" w:pos="142"/>
        </w:tabs>
        <w:spacing w:before="120" w:after="6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14.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64987472" w14:textId="77777777" w:rsidR="00BC4F75" w:rsidRDefault="00BC4F75" w:rsidP="00522A74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47B8229D" w14:textId="77777777" w:rsidR="00136E98" w:rsidRPr="00E92CB5" w:rsidRDefault="00136E98" w:rsidP="00522A74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7E14BBC5" w14:textId="77777777" w:rsidR="00335014" w:rsidRPr="00E92CB5" w:rsidRDefault="00335014" w:rsidP="00335014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7C74737E" w14:textId="0F582420" w:rsidR="00335014" w:rsidRPr="00E92CB5" w:rsidRDefault="00335014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</w:t>
      </w:r>
      <w:r w:rsidR="00F5436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F54364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A7F9D97" w14:textId="77777777" w:rsidR="00335014" w:rsidRPr="00E92CB5" w:rsidRDefault="00335014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CCD643A" w14:textId="77777777" w:rsidR="00966D0F" w:rsidRDefault="00966D0F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8ACBA7" w14:textId="77777777" w:rsidR="00522A74" w:rsidRPr="00E92CB5" w:rsidRDefault="00522A74" w:rsidP="00522A74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3F9648EA" w14:textId="54DEF08B" w:rsidR="00BC4F75" w:rsidRPr="003F6A04" w:rsidRDefault="00522A74" w:rsidP="003F6A0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Shqipërisë; Ligjin për organizimin e funksionimin e Gjykatës Kushtetuese; Rregulloren e brendshme, ligjin për statusin e nëpunësit civil, </w:t>
      </w:r>
      <w:r w:rsidR="00C42A75"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ceremonialin zyrtar të </w:t>
      </w:r>
      <w:r w:rsidR="00C42A75" w:rsidRPr="00E92CB5">
        <w:rPr>
          <w:rFonts w:ascii="Times New Roman" w:hAnsi="Times New Roman" w:cs="Times New Roman"/>
          <w:sz w:val="24"/>
          <w:szCs w:val="24"/>
          <w:lang w:val="sq-AL"/>
        </w:rPr>
        <w:t>Republikës së Shqipërisë</w:t>
      </w:r>
      <w:r w:rsidR="00C42A7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ligjin për rregullat e etikës në administratën publike, ligjin për të drejtën e informimit për dokumentet zyrtare, ligjin për mbrojtjen e të dhënave personale,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njohuri të </w:t>
      </w: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përgjithshme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>
        <w:rPr>
          <w:rFonts w:ascii="Times New Roman" w:hAnsi="Times New Roman" w:cs="Times New Roman"/>
          <w:sz w:val="24"/>
          <w:szCs w:val="24"/>
          <w:lang w:val="sq-AL"/>
        </w:rPr>
        <w:t>njohjen e terminologjisë juridike në përkthimin e materialeve të ndryshme juridikë dhe administrative.</w:t>
      </w:r>
    </w:p>
    <w:p w14:paraId="03781A0B" w14:textId="1F8538C0" w:rsidR="00602DB7" w:rsidRPr="00FA4494" w:rsidRDefault="003F6A04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kandidatëve</w:t>
      </w:r>
      <w:proofErr w:type="spellEnd"/>
    </w:p>
    <w:p w14:paraId="318BD417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5443C1" w14:textId="77777777" w:rsidR="00602DB7" w:rsidRPr="00A21241" w:rsidRDefault="00602DB7" w:rsidP="00531A6B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plotësimin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8354E" w14:textId="77777777" w:rsidR="00602DB7" w:rsidRPr="00A21241" w:rsidRDefault="00602DB7" w:rsidP="00531A6B">
      <w:pPr>
        <w:pStyle w:val="ListParagraph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E1C448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33DAEB" w14:textId="77777777" w:rsidR="00602DB7" w:rsidRPr="00A21241" w:rsidRDefault="00602DB7" w:rsidP="00531A6B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623E43" w14:textId="77777777" w:rsidR="00602DB7" w:rsidRPr="00A21241" w:rsidRDefault="00602DB7" w:rsidP="00531A6B">
      <w:pPr>
        <w:pStyle w:val="ListParagraph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B88D4" w14:textId="77777777" w:rsidR="00602DB7" w:rsidRPr="00A21241" w:rsidRDefault="00602DB7" w:rsidP="00531A6B">
      <w:pPr>
        <w:pStyle w:val="ListParagraph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63BCE37D" w14:textId="77777777" w:rsidR="00602DB7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nr. 152/2013,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VKM nr. 243,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18.03.2015, “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vizjen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periudh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prov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kategorin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udh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zimet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DAP.</w:t>
      </w:r>
    </w:p>
    <w:p w14:paraId="60700E45" w14:textId="77777777" w:rsidR="00602DB7" w:rsidRPr="00A21241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përkatësisht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E0616E" w14:textId="77777777" w:rsidR="00602DB7" w:rsidRPr="00A21241" w:rsidRDefault="00602DB7" w:rsidP="00531A6B">
      <w:pPr>
        <w:numPr>
          <w:ilvl w:val="1"/>
          <w:numId w:val="3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(CV),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06962C" w14:textId="77777777" w:rsidR="00602DB7" w:rsidRPr="00A21241" w:rsidRDefault="00602DB7" w:rsidP="00531A6B">
      <w:pPr>
        <w:numPr>
          <w:ilvl w:val="1"/>
          <w:numId w:val="3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BBEE53" w14:textId="77777777" w:rsidR="00602DB7" w:rsidRPr="00DA64A6" w:rsidRDefault="00602DB7" w:rsidP="00531A6B">
      <w:pPr>
        <w:numPr>
          <w:ilvl w:val="1"/>
          <w:numId w:val="3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proofErr w:type="spellEnd"/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BB2C5E9" w14:textId="77777777" w:rsidR="00602DB7" w:rsidRPr="00DA64A6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gjysmën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pikëve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kaluar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245F5ABB" w14:textId="436EAC20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45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87EAA" w14:textId="0C8465C6" w:rsidR="00602DB7" w:rsidRPr="009E759B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KPP-ja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liston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fitues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duke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filluar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rezultatin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Lista me renditjen e kandidatëve sipas pikëve, i dërgohet nga K</w:t>
      </w:r>
      <w:r w:rsidR="00F54364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 e katër) orëve nga përpilimi i saj.</w:t>
      </w:r>
    </w:p>
    <w:p w14:paraId="21902B95" w14:textId="77777777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listë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posaçme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bëhet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dhe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njoftohen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individualisht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32E4B54B" w14:textId="0FAEE474" w:rsidR="00602DB7" w:rsidRPr="00873507" w:rsidRDefault="00602DB7" w:rsidP="00602DB7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shkrim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dhe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intervista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strukturuar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të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zhvillohen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F03F3" w:rsidRPr="009F03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04</w:t>
      </w:r>
      <w:r w:rsidR="00BC4F75" w:rsidRPr="009F03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.0</w:t>
      </w:r>
      <w:r w:rsidR="009F03F3" w:rsidRPr="009F03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</w:t>
      </w:r>
      <w:r w:rsidR="00BC4F75" w:rsidRPr="009F03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10:30</w:t>
      </w:r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B0BC0A3" w14:textId="77777777" w:rsidR="00136E98" w:rsidRPr="00E92CB5" w:rsidRDefault="00136E98" w:rsidP="00602DB7">
      <w:pPr>
        <w:tabs>
          <w:tab w:val="left" w:pos="360"/>
        </w:tabs>
        <w:spacing w:before="24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5CE9DE24" w14:textId="3F143158" w:rsidR="007B2B86" w:rsidRPr="00765466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fazë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të procedurës për kandidat</w:t>
      </w:r>
      <w:r w:rsidR="00F54364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do të bëhet me e-mail, celular dhe sipas rastit në këndin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të ins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ionit dhe në portalin e 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Komb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tare 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Pun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simit dhe Aft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</w:p>
    <w:p w14:paraId="12FBFC5F" w14:textId="77777777" w:rsidR="00C42A7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</w:p>
    <w:p w14:paraId="447D8BB6" w14:textId="77777777" w:rsidR="003F6A04" w:rsidRDefault="003F6A04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</w:p>
    <w:p w14:paraId="680D9490" w14:textId="07BEF9B0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lastRenderedPageBreak/>
        <w:t xml:space="preserve">Grafiku </w:t>
      </w:r>
      <w:r w:rsidRPr="00E92CB5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procedurës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6C094029" w14:textId="5116DD9E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F54364">
        <w:rPr>
          <w:rFonts w:ascii="Times New Roman" w:hAnsi="Times New Roman" w:cs="Times New Roman"/>
          <w:color w:val="151516"/>
          <w:sz w:val="24"/>
          <w:szCs w:val="24"/>
          <w:lang w:val="sq-AL"/>
        </w:rPr>
        <w:t>22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54364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.2025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F54364">
        <w:rPr>
          <w:rFonts w:ascii="Times New Roman" w:hAnsi="Times New Roman" w:cs="Times New Roman"/>
          <w:color w:val="151516"/>
          <w:sz w:val="24"/>
          <w:szCs w:val="24"/>
          <w:lang w:val="sq-AL"/>
        </w:rPr>
        <w:t>06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54364">
        <w:rPr>
          <w:rFonts w:ascii="Times New Roman" w:hAnsi="Times New Roman" w:cs="Times New Roman"/>
          <w:color w:val="151516"/>
          <w:sz w:val="24"/>
          <w:szCs w:val="24"/>
          <w:lang w:val="sq-AL"/>
        </w:rPr>
        <w:t>6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.2025</w:t>
      </w:r>
    </w:p>
    <w:p w14:paraId="39EF5BA8" w14:textId="550568DD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F54364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2E9C1220" w14:textId="081F5C32" w:rsidR="00136E98" w:rsidRPr="00E92CB5" w:rsidRDefault="00136E98" w:rsidP="002F3DD6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9F03F3">
        <w:rPr>
          <w:rFonts w:ascii="Times New Roman" w:hAnsi="Times New Roman" w:cs="Times New Roman"/>
          <w:color w:val="151516"/>
          <w:sz w:val="24"/>
          <w:szCs w:val="24"/>
          <w:lang w:val="sq-AL"/>
        </w:rPr>
        <w:t>20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9F03F3">
        <w:rPr>
          <w:rFonts w:ascii="Times New Roman" w:hAnsi="Times New Roman" w:cs="Times New Roman"/>
          <w:color w:val="151516"/>
          <w:sz w:val="24"/>
          <w:szCs w:val="24"/>
          <w:lang w:val="sq-AL"/>
        </w:rPr>
        <w:t>6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.2025</w:t>
      </w:r>
    </w:p>
    <w:p w14:paraId="34702427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5 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4D27AD6E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063536D2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4284D24F" w14:textId="54612E46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finale të kandidatëve të kualifikuar:</w:t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02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7C84E721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Testimi me shkrim dhe intervista e strukturuar</w:t>
      </w:r>
    </w:p>
    <w:p w14:paraId="11A3D34E" w14:textId="573BA1A3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54EE039E" w14:textId="65F7D98E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KPP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08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4A0DABA6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097EE4B0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417DE32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02B40F17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 ankimit</w:t>
      </w:r>
    </w:p>
    <w:p w14:paraId="50B3A08C" w14:textId="70D6867A" w:rsidR="00136E98" w:rsidRPr="00E92CB5" w:rsidRDefault="00136E98" w:rsidP="002F3DD6">
      <w:pPr>
        <w:spacing w:before="60"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21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F03F3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162307BC" w14:textId="05169FD3" w:rsidR="00136E98" w:rsidRPr="00E92CB5" w:rsidRDefault="00136E98" w:rsidP="00966D0F">
      <w:pPr>
        <w:spacing w:after="60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9F03F3">
        <w:rPr>
          <w:rFonts w:ascii="Times New Roman" w:hAnsi="Times New Roman" w:cs="Times New Roman"/>
          <w:color w:val="282828"/>
          <w:sz w:val="24"/>
          <w:szCs w:val="24"/>
          <w:lang w:val="sq-AL"/>
        </w:rPr>
        <w:t>2</w:t>
      </w:r>
      <w:r w:rsidR="00065BD7">
        <w:rPr>
          <w:rFonts w:ascii="Times New Roman" w:hAnsi="Times New Roman" w:cs="Times New Roman"/>
          <w:color w:val="282828"/>
          <w:sz w:val="24"/>
          <w:szCs w:val="24"/>
          <w:lang w:val="sq-AL"/>
        </w:rPr>
        <w:t>2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9F03F3">
        <w:rPr>
          <w:rFonts w:ascii="Times New Roman" w:hAnsi="Times New Roman" w:cs="Times New Roman"/>
          <w:color w:val="282828"/>
          <w:sz w:val="24"/>
          <w:szCs w:val="24"/>
          <w:lang w:val="sq-AL"/>
        </w:rPr>
        <w:t>7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.2025</w:t>
      </w:r>
    </w:p>
    <w:p w14:paraId="58EC7EDA" w14:textId="77777777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03CB5CF2" w14:textId="071566A6" w:rsidR="00191D45" w:rsidRPr="00B333B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Gjykatën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vizitoni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internet:</w:t>
      </w:r>
      <w:r w:rsidR="00602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9F03F3" w:rsidRPr="009C5623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www.gjykatakushtetuese.gov.al</w:t>
        </w:r>
      </w:hyperlink>
    </w:p>
    <w:p w14:paraId="2BB96B09" w14:textId="77777777" w:rsidR="00191D45" w:rsidRPr="00B333BB" w:rsidRDefault="00191D45" w:rsidP="006D57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”, nr.</w:t>
      </w:r>
      <w:r w:rsidR="00D8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BF7D0" w14:textId="77777777"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E9B3D" w14:textId="77777777" w:rsidR="00191D45" w:rsidRPr="00B333BB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B333BB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14:paraId="7246413C" w14:textId="77777777" w:rsidR="00966D0F" w:rsidRDefault="00966D0F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4195FC" w14:textId="381316DF" w:rsidR="00191D45" w:rsidRPr="00602DB7" w:rsidRDefault="00191D45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F03F3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BC4F75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9F03F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C4F75">
        <w:rPr>
          <w:rFonts w:ascii="Times New Roman" w:eastAsia="Times New Roman" w:hAnsi="Times New Roman" w:cs="Times New Roman"/>
          <w:sz w:val="24"/>
          <w:szCs w:val="24"/>
          <w:u w:val="single"/>
        </w:rPr>
        <w:t>.2025</w:t>
      </w:r>
    </w:p>
    <w:sectPr w:rsidR="00191D45" w:rsidRPr="00602DB7" w:rsidSect="00522A74">
      <w:footerReference w:type="default" r:id="rId13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0213" w14:textId="77777777" w:rsidR="00D41830" w:rsidRDefault="00D41830" w:rsidP="00153D03">
      <w:pPr>
        <w:spacing w:after="0" w:line="240" w:lineRule="auto"/>
      </w:pPr>
      <w:r>
        <w:separator/>
      </w:r>
    </w:p>
  </w:endnote>
  <w:endnote w:type="continuationSeparator" w:id="0">
    <w:p w14:paraId="7CA71180" w14:textId="77777777" w:rsidR="00D41830" w:rsidRDefault="00D41830" w:rsidP="00153D03">
      <w:pPr>
        <w:spacing w:after="0" w:line="240" w:lineRule="auto"/>
      </w:pPr>
      <w:r>
        <w:continuationSeparator/>
      </w:r>
    </w:p>
  </w:endnote>
  <w:endnote w:type="continuationNotice" w:id="1">
    <w:p w14:paraId="1FC81859" w14:textId="77777777" w:rsidR="00D41830" w:rsidRDefault="00D41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7C33" w14:textId="77777777" w:rsidR="00A222ED" w:rsidRDefault="00A222ED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14:paraId="5E8576BC" w14:textId="7A6187A4" w:rsidR="00A222ED" w:rsidRPr="00A8019A" w:rsidRDefault="00A222ED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9F03F3" w:rsidRPr="009C5623">
        <w:rPr>
          <w:rStyle w:val="Hyperlink"/>
          <w:iCs/>
          <w:sz w:val="18"/>
          <w:szCs w:val="18"/>
          <w:lang w:val="sq-AL" w:eastAsia="en-GB"/>
        </w:rPr>
        <w:t>www.gjykatakushtetuese.gov.al</w:t>
      </w:r>
    </w:hyperlink>
  </w:p>
  <w:p w14:paraId="4128EBB4" w14:textId="77777777" w:rsidR="00A222ED" w:rsidRDefault="00A2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2B947" w14:textId="77777777" w:rsidR="00D41830" w:rsidRDefault="00D41830" w:rsidP="00153D03">
      <w:pPr>
        <w:spacing w:after="0" w:line="240" w:lineRule="auto"/>
      </w:pPr>
      <w:r>
        <w:separator/>
      </w:r>
    </w:p>
  </w:footnote>
  <w:footnote w:type="continuationSeparator" w:id="0">
    <w:p w14:paraId="2B30A257" w14:textId="77777777" w:rsidR="00D41830" w:rsidRDefault="00D41830" w:rsidP="00153D03">
      <w:pPr>
        <w:spacing w:after="0" w:line="240" w:lineRule="auto"/>
      </w:pPr>
      <w:r>
        <w:continuationSeparator/>
      </w:r>
    </w:p>
  </w:footnote>
  <w:footnote w:type="continuationNotice" w:id="1">
    <w:p w14:paraId="76A236E1" w14:textId="77777777" w:rsidR="00D41830" w:rsidRDefault="00D41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CC2"/>
    <w:multiLevelType w:val="hybridMultilevel"/>
    <w:tmpl w:val="35127052"/>
    <w:lvl w:ilvl="0" w:tplc="2AE87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6" w15:restartNumberingAfterBreak="0">
    <w:nsid w:val="4DE57F77"/>
    <w:multiLevelType w:val="hybridMultilevel"/>
    <w:tmpl w:val="174C1C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236FE"/>
    <w:rsid w:val="000405B4"/>
    <w:rsid w:val="00051367"/>
    <w:rsid w:val="000574B0"/>
    <w:rsid w:val="00057B2C"/>
    <w:rsid w:val="0006111B"/>
    <w:rsid w:val="00062ABC"/>
    <w:rsid w:val="000643A7"/>
    <w:rsid w:val="00065BD7"/>
    <w:rsid w:val="00072536"/>
    <w:rsid w:val="00083A72"/>
    <w:rsid w:val="000B3E52"/>
    <w:rsid w:val="000C2838"/>
    <w:rsid w:val="000F10D4"/>
    <w:rsid w:val="0010077A"/>
    <w:rsid w:val="00121C00"/>
    <w:rsid w:val="001255BF"/>
    <w:rsid w:val="00136E98"/>
    <w:rsid w:val="00153D03"/>
    <w:rsid w:val="0015669C"/>
    <w:rsid w:val="001764E5"/>
    <w:rsid w:val="00177420"/>
    <w:rsid w:val="0018476D"/>
    <w:rsid w:val="0018698E"/>
    <w:rsid w:val="00191D45"/>
    <w:rsid w:val="001A0F1C"/>
    <w:rsid w:val="001A411E"/>
    <w:rsid w:val="001B6D67"/>
    <w:rsid w:val="001F54B4"/>
    <w:rsid w:val="0020154B"/>
    <w:rsid w:val="0020594E"/>
    <w:rsid w:val="002150B0"/>
    <w:rsid w:val="002366E2"/>
    <w:rsid w:val="00246E0A"/>
    <w:rsid w:val="00254067"/>
    <w:rsid w:val="002800F1"/>
    <w:rsid w:val="00284239"/>
    <w:rsid w:val="002A6529"/>
    <w:rsid w:val="002B4D1A"/>
    <w:rsid w:val="002F3DD6"/>
    <w:rsid w:val="00314587"/>
    <w:rsid w:val="003145F4"/>
    <w:rsid w:val="0031573E"/>
    <w:rsid w:val="00316FFA"/>
    <w:rsid w:val="00320451"/>
    <w:rsid w:val="0032242D"/>
    <w:rsid w:val="00335014"/>
    <w:rsid w:val="0035580E"/>
    <w:rsid w:val="0037179D"/>
    <w:rsid w:val="00380916"/>
    <w:rsid w:val="003A5448"/>
    <w:rsid w:val="003B678B"/>
    <w:rsid w:val="003D6D0D"/>
    <w:rsid w:val="003E6ECC"/>
    <w:rsid w:val="003E7B33"/>
    <w:rsid w:val="003F6A04"/>
    <w:rsid w:val="003F6C5A"/>
    <w:rsid w:val="00400511"/>
    <w:rsid w:val="004201D5"/>
    <w:rsid w:val="0045088E"/>
    <w:rsid w:val="00462C59"/>
    <w:rsid w:val="00490087"/>
    <w:rsid w:val="00493DF3"/>
    <w:rsid w:val="004C1DD8"/>
    <w:rsid w:val="004F6723"/>
    <w:rsid w:val="00506536"/>
    <w:rsid w:val="005120BA"/>
    <w:rsid w:val="00522A74"/>
    <w:rsid w:val="00531A6B"/>
    <w:rsid w:val="0053694A"/>
    <w:rsid w:val="00552E34"/>
    <w:rsid w:val="00560E9C"/>
    <w:rsid w:val="00563F45"/>
    <w:rsid w:val="00587C5A"/>
    <w:rsid w:val="00590CF4"/>
    <w:rsid w:val="00595385"/>
    <w:rsid w:val="005A3BDE"/>
    <w:rsid w:val="005A5EFA"/>
    <w:rsid w:val="005A77D1"/>
    <w:rsid w:val="006002B4"/>
    <w:rsid w:val="00602DB7"/>
    <w:rsid w:val="0060598D"/>
    <w:rsid w:val="00606322"/>
    <w:rsid w:val="006147B3"/>
    <w:rsid w:val="00617507"/>
    <w:rsid w:val="006220DE"/>
    <w:rsid w:val="00654DE4"/>
    <w:rsid w:val="00664881"/>
    <w:rsid w:val="00680E4D"/>
    <w:rsid w:val="00695120"/>
    <w:rsid w:val="006D572F"/>
    <w:rsid w:val="006D649A"/>
    <w:rsid w:val="006F1D7B"/>
    <w:rsid w:val="007033EB"/>
    <w:rsid w:val="0071403D"/>
    <w:rsid w:val="00734832"/>
    <w:rsid w:val="00735492"/>
    <w:rsid w:val="0074011E"/>
    <w:rsid w:val="00751AFF"/>
    <w:rsid w:val="00753B74"/>
    <w:rsid w:val="00757D83"/>
    <w:rsid w:val="00765466"/>
    <w:rsid w:val="00770354"/>
    <w:rsid w:val="00775315"/>
    <w:rsid w:val="00784491"/>
    <w:rsid w:val="0078567E"/>
    <w:rsid w:val="00785A5F"/>
    <w:rsid w:val="00794D01"/>
    <w:rsid w:val="00797665"/>
    <w:rsid w:val="00797E70"/>
    <w:rsid w:val="007A21A1"/>
    <w:rsid w:val="007A47DA"/>
    <w:rsid w:val="007A6EBE"/>
    <w:rsid w:val="007B2B86"/>
    <w:rsid w:val="007B6F97"/>
    <w:rsid w:val="007C64A0"/>
    <w:rsid w:val="007D0DB3"/>
    <w:rsid w:val="007E2C7C"/>
    <w:rsid w:val="007E32F7"/>
    <w:rsid w:val="008143FA"/>
    <w:rsid w:val="00822276"/>
    <w:rsid w:val="008473DC"/>
    <w:rsid w:val="0085152A"/>
    <w:rsid w:val="00856717"/>
    <w:rsid w:val="00860CC0"/>
    <w:rsid w:val="00873507"/>
    <w:rsid w:val="00882ADC"/>
    <w:rsid w:val="00882B13"/>
    <w:rsid w:val="008848EB"/>
    <w:rsid w:val="00891C62"/>
    <w:rsid w:val="00895982"/>
    <w:rsid w:val="008E5569"/>
    <w:rsid w:val="008E68F5"/>
    <w:rsid w:val="008F0992"/>
    <w:rsid w:val="00903BB3"/>
    <w:rsid w:val="00913021"/>
    <w:rsid w:val="009201D6"/>
    <w:rsid w:val="009217AC"/>
    <w:rsid w:val="009304B5"/>
    <w:rsid w:val="00934DEE"/>
    <w:rsid w:val="0093749C"/>
    <w:rsid w:val="0095038A"/>
    <w:rsid w:val="009506D8"/>
    <w:rsid w:val="009624EC"/>
    <w:rsid w:val="00966D0F"/>
    <w:rsid w:val="00992421"/>
    <w:rsid w:val="009979F4"/>
    <w:rsid w:val="009B10D8"/>
    <w:rsid w:val="009C0168"/>
    <w:rsid w:val="009C0B75"/>
    <w:rsid w:val="009C77FD"/>
    <w:rsid w:val="009E0C9A"/>
    <w:rsid w:val="009E29B0"/>
    <w:rsid w:val="009E7D93"/>
    <w:rsid w:val="009F03F3"/>
    <w:rsid w:val="00A136F4"/>
    <w:rsid w:val="00A16F7A"/>
    <w:rsid w:val="00A222ED"/>
    <w:rsid w:val="00A56769"/>
    <w:rsid w:val="00A60BA3"/>
    <w:rsid w:val="00A75DC2"/>
    <w:rsid w:val="00A965B5"/>
    <w:rsid w:val="00A96713"/>
    <w:rsid w:val="00AC2DC7"/>
    <w:rsid w:val="00AC3000"/>
    <w:rsid w:val="00AC4738"/>
    <w:rsid w:val="00AE5729"/>
    <w:rsid w:val="00B13817"/>
    <w:rsid w:val="00B25C38"/>
    <w:rsid w:val="00B368A5"/>
    <w:rsid w:val="00B41EEE"/>
    <w:rsid w:val="00B67530"/>
    <w:rsid w:val="00B80414"/>
    <w:rsid w:val="00B83B1C"/>
    <w:rsid w:val="00B94FEF"/>
    <w:rsid w:val="00B96549"/>
    <w:rsid w:val="00BA351E"/>
    <w:rsid w:val="00BC4A05"/>
    <w:rsid w:val="00BC4F75"/>
    <w:rsid w:val="00BC5062"/>
    <w:rsid w:val="00BE1C98"/>
    <w:rsid w:val="00BE7EBC"/>
    <w:rsid w:val="00BF303A"/>
    <w:rsid w:val="00C24CCF"/>
    <w:rsid w:val="00C42A75"/>
    <w:rsid w:val="00C45A41"/>
    <w:rsid w:val="00C561C6"/>
    <w:rsid w:val="00C65F54"/>
    <w:rsid w:val="00C71251"/>
    <w:rsid w:val="00C8114B"/>
    <w:rsid w:val="00C85A52"/>
    <w:rsid w:val="00CA1166"/>
    <w:rsid w:val="00CA5F65"/>
    <w:rsid w:val="00CA61F1"/>
    <w:rsid w:val="00CB45F5"/>
    <w:rsid w:val="00CC7CBE"/>
    <w:rsid w:val="00CD090A"/>
    <w:rsid w:val="00CE0B04"/>
    <w:rsid w:val="00CE4C8E"/>
    <w:rsid w:val="00CF37F7"/>
    <w:rsid w:val="00CF3D70"/>
    <w:rsid w:val="00D12332"/>
    <w:rsid w:val="00D2754C"/>
    <w:rsid w:val="00D41830"/>
    <w:rsid w:val="00D607E0"/>
    <w:rsid w:val="00D72917"/>
    <w:rsid w:val="00D84829"/>
    <w:rsid w:val="00D96311"/>
    <w:rsid w:val="00DA6E70"/>
    <w:rsid w:val="00DB37C8"/>
    <w:rsid w:val="00DC3B99"/>
    <w:rsid w:val="00DC4608"/>
    <w:rsid w:val="00DC6BA0"/>
    <w:rsid w:val="00DD3BB3"/>
    <w:rsid w:val="00DE4CE2"/>
    <w:rsid w:val="00DF09C1"/>
    <w:rsid w:val="00DF1988"/>
    <w:rsid w:val="00E11F7E"/>
    <w:rsid w:val="00E427D5"/>
    <w:rsid w:val="00E46C18"/>
    <w:rsid w:val="00E82474"/>
    <w:rsid w:val="00E87E88"/>
    <w:rsid w:val="00EA6C76"/>
    <w:rsid w:val="00EB1879"/>
    <w:rsid w:val="00ED49B1"/>
    <w:rsid w:val="00ED70B1"/>
    <w:rsid w:val="00EE071D"/>
    <w:rsid w:val="00EE40B3"/>
    <w:rsid w:val="00F01606"/>
    <w:rsid w:val="00F030FB"/>
    <w:rsid w:val="00F07122"/>
    <w:rsid w:val="00F11483"/>
    <w:rsid w:val="00F17EC8"/>
    <w:rsid w:val="00F2666A"/>
    <w:rsid w:val="00F418B9"/>
    <w:rsid w:val="00F54364"/>
    <w:rsid w:val="00F82EA7"/>
    <w:rsid w:val="00F85059"/>
    <w:rsid w:val="00F85587"/>
    <w:rsid w:val="00FA0BA0"/>
    <w:rsid w:val="00FA24F9"/>
    <w:rsid w:val="00FD65D7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9C8A"/>
  <w15:docId w15:val="{051FF5C3-81A9-4652-84BC-11D1E4C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B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32F7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3145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jykatakushtetuese.gov.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ykatakushtetues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5cf4bcfc76fb12987eb4aca57cd0a503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45173a84cf2d9aa073a8f5920b3292c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7A39-F132-4956-A0B4-FC0C3C8AF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652ED-ED75-4022-B6D6-F820FB4BF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EA9D9-B50F-4325-8487-198094C34C58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customXml/itemProps4.xml><?xml version="1.0" encoding="utf-8"?>
<ds:datastoreItem xmlns:ds="http://schemas.openxmlformats.org/officeDocument/2006/customXml" ds:itemID="{8D9CE81D-59FB-4A6B-A1D0-0F1C48D8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Areld Ndreu</cp:lastModifiedBy>
  <cp:revision>11</cp:revision>
  <cp:lastPrinted>2025-01-14T09:16:00Z</cp:lastPrinted>
  <dcterms:created xsi:type="dcterms:W3CDTF">2025-01-14T11:24:00Z</dcterms:created>
  <dcterms:modified xsi:type="dcterms:W3CDTF">2025-05-21T10:31:00Z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