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9A76" w14:textId="77777777" w:rsidR="002959AD" w:rsidRDefault="002959AD" w:rsidP="002959AD"/>
    <w:p w14:paraId="2F5C4C54" w14:textId="77777777" w:rsidR="002959AD" w:rsidRDefault="002959AD" w:rsidP="002959AD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4B6121CA" wp14:editId="685A16FA">
            <wp:extent cx="873760" cy="62020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F37C" w14:textId="77777777" w:rsidR="002959AD" w:rsidRDefault="002959AD" w:rsidP="00295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3DD17BAB" w14:textId="77777777" w:rsidR="002959AD" w:rsidRPr="00A330AD" w:rsidRDefault="002959AD" w:rsidP="00295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28821BA1" w14:textId="2CDFE2CE" w:rsidR="002959AD" w:rsidRPr="00A330AD" w:rsidRDefault="002959AD" w:rsidP="002959AD">
      <w:pPr>
        <w:rPr>
          <w:b/>
          <w:bCs/>
        </w:rPr>
      </w:pPr>
      <w:r w:rsidRPr="00A330AD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A330AD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proofErr w:type="spellStart"/>
      <w:r w:rsidRPr="00A330AD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A330A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A330AD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A330A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3B86">
        <w:rPr>
          <w:rFonts w:ascii="Times New Roman" w:hAnsi="Times New Roman"/>
          <w:b/>
          <w:bCs/>
          <w:sz w:val="24"/>
          <w:szCs w:val="24"/>
        </w:rPr>
        <w:t>03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6B3B8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330AD">
        <w:rPr>
          <w:rFonts w:ascii="Times New Roman" w:hAnsi="Times New Roman"/>
          <w:b/>
          <w:bCs/>
          <w:sz w:val="24"/>
          <w:szCs w:val="24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9AD" w:rsidRPr="001C55CD" w14:paraId="1381282E" w14:textId="77777777" w:rsidTr="00C01504">
        <w:trPr>
          <w:trHeight w:val="1286"/>
        </w:trPr>
        <w:tc>
          <w:tcPr>
            <w:tcW w:w="9576" w:type="dxa"/>
            <w:shd w:val="clear" w:color="auto" w:fill="FFFF00"/>
          </w:tcPr>
          <w:p w14:paraId="226AA510" w14:textId="77777777" w:rsidR="002959AD" w:rsidRPr="001C55CD" w:rsidRDefault="002959AD" w:rsidP="00C0150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704B2BC7" w14:textId="77777777" w:rsidR="002959AD" w:rsidRPr="001C55CD" w:rsidRDefault="002959AD" w:rsidP="00C01504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0EDB70C0" w14:textId="77777777" w:rsidR="002959AD" w:rsidRPr="001C55CD" w:rsidRDefault="002959AD" w:rsidP="00C01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5CEF298D" w14:textId="77777777" w:rsidR="002959AD" w:rsidRDefault="002959AD" w:rsidP="002959AD">
      <w:pPr>
        <w:spacing w:after="0"/>
        <w:rPr>
          <w:rFonts w:ascii="Times New Roman" w:hAnsi="Times New Roman"/>
          <w:b/>
          <w:sz w:val="28"/>
        </w:rPr>
      </w:pPr>
    </w:p>
    <w:p w14:paraId="5E19F2F1" w14:textId="77777777" w:rsidR="002959AD" w:rsidRPr="00D41869" w:rsidRDefault="002959AD" w:rsidP="002959A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>Shkenca Inxhinerike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2489F6E5" w14:textId="77777777" w:rsidR="002959AD" w:rsidRPr="00443E00" w:rsidRDefault="002959AD" w:rsidP="002959AD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5BD185E2" w14:textId="240CD466" w:rsidR="002959AD" w:rsidRDefault="002959AD" w:rsidP="002959AD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Projektesh, pranë drejtorisë së Projekteve dhe Investimeve.</w:t>
      </w:r>
    </w:p>
    <w:p w14:paraId="100A0F03" w14:textId="77777777" w:rsidR="002959AD" w:rsidRPr="00443E00" w:rsidRDefault="002959AD" w:rsidP="002959AD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959AD" w:rsidRPr="00A77F8B" w14:paraId="332410E2" w14:textId="77777777" w:rsidTr="00C01504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EEACBF" w14:textId="77777777" w:rsidR="002959AD" w:rsidRPr="007239EC" w:rsidRDefault="002959AD" w:rsidP="00C0150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1B66003E" w14:textId="77777777" w:rsidR="002959AD" w:rsidRPr="000F1A92" w:rsidRDefault="002959AD" w:rsidP="00C01504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09A87716" w14:textId="77777777" w:rsidR="002959AD" w:rsidRPr="000F1A92" w:rsidRDefault="002959AD" w:rsidP="002959AD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2959AD" w14:paraId="0CDFF76E" w14:textId="77777777" w:rsidTr="00C01504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EED3753" w14:textId="77777777" w:rsidR="002959AD" w:rsidRDefault="002959AD" w:rsidP="00C01504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0D7024B3" w14:textId="77777777" w:rsidR="002959AD" w:rsidRPr="00942C2E" w:rsidRDefault="002959AD" w:rsidP="00C01504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3CADB0" w14:textId="4BBFBD56" w:rsidR="002959AD" w:rsidRDefault="004B00AD" w:rsidP="00C01504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12</w:t>
            </w:r>
            <w:r w:rsidR="002959AD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</w:t>
            </w:r>
            <w:r w:rsidR="002959AD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.2025</w:t>
            </w:r>
          </w:p>
        </w:tc>
      </w:tr>
      <w:tr w:rsidR="002959AD" w14:paraId="3BDEA27B" w14:textId="77777777" w:rsidTr="00C01504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23FD2C" w14:textId="77777777" w:rsidR="002959AD" w:rsidRDefault="002959AD" w:rsidP="00C01504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0AB43C08" w14:textId="77777777" w:rsidR="002959AD" w:rsidRPr="00942C2E" w:rsidRDefault="002959AD" w:rsidP="00C01504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6FB77A" w14:textId="40A9FF31" w:rsidR="002959AD" w:rsidRDefault="004B00AD" w:rsidP="00C01504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18</w:t>
            </w:r>
            <w:r w:rsidR="002959AD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.02.2025</w:t>
            </w:r>
          </w:p>
        </w:tc>
      </w:tr>
    </w:tbl>
    <w:p w14:paraId="670C1662" w14:textId="77777777" w:rsidR="002959AD" w:rsidRDefault="002959AD" w:rsidP="002959AD">
      <w:pPr>
        <w:jc w:val="both"/>
        <w:rPr>
          <w:rFonts w:ascii="Times New Roman" w:hAnsi="Times New Roman"/>
          <w:b/>
          <w:sz w:val="24"/>
          <w:szCs w:val="24"/>
        </w:rPr>
      </w:pPr>
    </w:p>
    <w:p w14:paraId="55C3954D" w14:textId="77777777" w:rsidR="002959AD" w:rsidRDefault="002959AD" w:rsidP="002959AD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959AD" w:rsidRPr="00A77F8B" w14:paraId="7A89D75E" w14:textId="77777777" w:rsidTr="00C01504">
        <w:tc>
          <w:tcPr>
            <w:tcW w:w="9855" w:type="dxa"/>
            <w:shd w:val="clear" w:color="auto" w:fill="C00000"/>
            <w:hideMark/>
          </w:tcPr>
          <w:p w14:paraId="4B4393CC" w14:textId="77777777" w:rsidR="002959AD" w:rsidRPr="002238CD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15181E52" w14:textId="77777777" w:rsidR="002959AD" w:rsidRPr="002238CD" w:rsidRDefault="002959AD" w:rsidP="002959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94FFC4A" w14:textId="77777777" w:rsidR="002959AD" w:rsidRPr="00CA3AB0" w:rsidRDefault="002959AD" w:rsidP="002959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Kontrolli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investimeve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publike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përputhje</w:t>
      </w:r>
      <w:proofErr w:type="spellEnd"/>
      <w:r w:rsidRPr="00CA3AB0">
        <w:rPr>
          <w:szCs w:val="24"/>
        </w:rPr>
        <w:t xml:space="preserve"> me </w:t>
      </w:r>
      <w:proofErr w:type="spellStart"/>
      <w:r w:rsidRPr="00CA3AB0">
        <w:rPr>
          <w:szCs w:val="24"/>
        </w:rPr>
        <w:t>kompetencat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përcaktuara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legjislacionin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për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kontrollin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disiplinimin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punimeve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ndërtimit</w:t>
      </w:r>
      <w:proofErr w:type="spellEnd"/>
      <w:r w:rsidRPr="00CA3AB0">
        <w:rPr>
          <w:szCs w:val="24"/>
        </w:rPr>
        <w:t>;</w:t>
      </w:r>
    </w:p>
    <w:p w14:paraId="6C8E8E2D" w14:textId="77777777" w:rsidR="002959AD" w:rsidRPr="00CA3AB0" w:rsidRDefault="002959AD" w:rsidP="002959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Kontroll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mbikëqyrja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investimeve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publike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terren</w:t>
      </w:r>
      <w:proofErr w:type="spellEnd"/>
      <w:r w:rsidRPr="00CA3AB0">
        <w:rPr>
          <w:szCs w:val="24"/>
        </w:rPr>
        <w:t>;</w:t>
      </w:r>
    </w:p>
    <w:p w14:paraId="33F158BF" w14:textId="77777777" w:rsidR="002959AD" w:rsidRPr="00CA3AB0" w:rsidRDefault="002959AD" w:rsidP="002959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Kontrolli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mbikëqyrja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investimeve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Rindërtimit</w:t>
      </w:r>
      <w:proofErr w:type="spellEnd"/>
      <w:r w:rsidRPr="00CA3AB0">
        <w:rPr>
          <w:szCs w:val="24"/>
        </w:rPr>
        <w:t xml:space="preserve"> (</w:t>
      </w:r>
      <w:proofErr w:type="spellStart"/>
      <w:r w:rsidRPr="00CA3AB0">
        <w:rPr>
          <w:szCs w:val="24"/>
        </w:rPr>
        <w:t>objektet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arsimore</w:t>
      </w:r>
      <w:proofErr w:type="spellEnd"/>
      <w:r w:rsidRPr="00CA3AB0">
        <w:rPr>
          <w:szCs w:val="24"/>
        </w:rPr>
        <w:t>);</w:t>
      </w:r>
    </w:p>
    <w:p w14:paraId="4CE66FBA" w14:textId="77777777" w:rsidR="002959AD" w:rsidRPr="00CA3AB0" w:rsidRDefault="002959AD" w:rsidP="002959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Kontrolli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dokumentacionit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zbatimit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investimet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nga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firmat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përkatëse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marrja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dorëzim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tyre</w:t>
      </w:r>
      <w:proofErr w:type="spellEnd"/>
      <w:r w:rsidRPr="00CA3AB0">
        <w:rPr>
          <w:szCs w:val="24"/>
        </w:rPr>
        <w:t>;</w:t>
      </w:r>
    </w:p>
    <w:p w14:paraId="3F591254" w14:textId="77777777" w:rsidR="002959AD" w:rsidRPr="00CA3AB0" w:rsidRDefault="002959AD" w:rsidP="002959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Azhornimi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saktesimi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adresarit</w:t>
      </w:r>
      <w:proofErr w:type="spellEnd"/>
      <w:r w:rsidRPr="00CA3AB0">
        <w:rPr>
          <w:szCs w:val="24"/>
        </w:rPr>
        <w:t xml:space="preserve">, </w:t>
      </w:r>
      <w:proofErr w:type="spellStart"/>
      <w:r w:rsidRPr="00CA3AB0">
        <w:rPr>
          <w:szCs w:val="24"/>
        </w:rPr>
        <w:t>si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levizja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migracionit</w:t>
      </w:r>
      <w:proofErr w:type="spellEnd"/>
      <w:r w:rsidRPr="00CA3AB0">
        <w:rPr>
          <w:szCs w:val="24"/>
        </w:rPr>
        <w:t>;</w:t>
      </w:r>
    </w:p>
    <w:p w14:paraId="5720FF99" w14:textId="77777777" w:rsidR="002959AD" w:rsidRPr="00CA3AB0" w:rsidRDefault="002959AD" w:rsidP="002959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Bashkëpunimi</w:t>
      </w:r>
      <w:proofErr w:type="spellEnd"/>
      <w:r w:rsidRPr="00CA3AB0">
        <w:rPr>
          <w:szCs w:val="24"/>
        </w:rPr>
        <w:t xml:space="preserve"> me </w:t>
      </w:r>
      <w:proofErr w:type="spellStart"/>
      <w:r w:rsidRPr="00CA3AB0">
        <w:rPr>
          <w:szCs w:val="24"/>
        </w:rPr>
        <w:t>problematikat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shërbimeve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mirëmbajtjes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së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Territorit</w:t>
      </w:r>
      <w:proofErr w:type="spellEnd"/>
      <w:r w:rsidRPr="00CA3AB0">
        <w:rPr>
          <w:szCs w:val="24"/>
        </w:rPr>
        <w:t>;</w:t>
      </w:r>
    </w:p>
    <w:p w14:paraId="27FA7DAE" w14:textId="77777777" w:rsidR="002959AD" w:rsidRPr="00CA3AB0" w:rsidRDefault="002959AD" w:rsidP="002959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Verifikimi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terren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ankesave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nga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qytetarët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lidhje</w:t>
      </w:r>
      <w:proofErr w:type="spellEnd"/>
      <w:r w:rsidRPr="00CA3AB0">
        <w:rPr>
          <w:szCs w:val="24"/>
        </w:rPr>
        <w:t xml:space="preserve"> me </w:t>
      </w:r>
      <w:proofErr w:type="spellStart"/>
      <w:r w:rsidRPr="00CA3AB0">
        <w:rPr>
          <w:szCs w:val="24"/>
        </w:rPr>
        <w:t>investimet</w:t>
      </w:r>
      <w:proofErr w:type="spellEnd"/>
      <w:r w:rsidRPr="00CA3AB0">
        <w:rPr>
          <w:szCs w:val="24"/>
        </w:rPr>
        <w:t>.</w:t>
      </w:r>
    </w:p>
    <w:p w14:paraId="4FB441AB" w14:textId="77777777" w:rsidR="002959AD" w:rsidRPr="00CA3AB0" w:rsidRDefault="002959AD" w:rsidP="002959AD">
      <w:pPr>
        <w:pStyle w:val="NoSpacing"/>
        <w:spacing w:line="276" w:lineRule="auto"/>
        <w:ind w:left="720"/>
        <w:jc w:val="both"/>
        <w:rPr>
          <w:szCs w:val="24"/>
        </w:rPr>
      </w:pPr>
    </w:p>
    <w:p w14:paraId="51482592" w14:textId="77777777" w:rsidR="002959AD" w:rsidRPr="000F1A92" w:rsidRDefault="002959AD" w:rsidP="002959A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7D633D2" w14:textId="77777777" w:rsidR="002959AD" w:rsidRPr="000F1A92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959AD" w14:paraId="73B0147C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8EDAB3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68F5F2" w14:textId="77777777" w:rsidR="002959AD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450ED581" w14:textId="77777777" w:rsidR="002959AD" w:rsidRDefault="002959AD" w:rsidP="002959AD">
      <w:pPr>
        <w:jc w:val="both"/>
        <w:rPr>
          <w:rFonts w:ascii="Times New Roman" w:hAnsi="Times New Roman"/>
          <w:sz w:val="24"/>
          <w:szCs w:val="24"/>
        </w:rPr>
      </w:pPr>
    </w:p>
    <w:p w14:paraId="65218476" w14:textId="77777777" w:rsidR="002959AD" w:rsidRDefault="002959AD" w:rsidP="002959A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1E39176" w14:textId="77777777" w:rsidR="002959AD" w:rsidRDefault="002959AD" w:rsidP="00295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2250399B" w14:textId="77777777" w:rsidR="002959AD" w:rsidRDefault="002959AD" w:rsidP="00295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ABEABB3" w14:textId="77777777" w:rsidR="002959AD" w:rsidRPr="006E1712" w:rsidRDefault="002959AD" w:rsidP="00295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14:paraId="7FCDDB4C" w14:textId="77777777" w:rsidR="002959AD" w:rsidRPr="002238CD" w:rsidRDefault="002959AD" w:rsidP="002959AD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1762FAC2" w14:textId="77777777" w:rsidR="002959AD" w:rsidRPr="00942C2E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4B3A999A" w14:textId="77777777" w:rsidR="002959AD" w:rsidRPr="00942C2E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22237A78" w14:textId="77777777" w:rsidR="002959AD" w:rsidRPr="00942C2E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461E190C" w14:textId="77777777" w:rsidR="002959AD" w:rsidRPr="001F384B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959AD" w:rsidRPr="00A77F8B" w14:paraId="7ED391D5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BB3B7D5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A00B06" w14:textId="77777777" w:rsidR="002959AD" w:rsidRPr="00942C2E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158EA27A" w14:textId="77777777" w:rsidR="002959AD" w:rsidRPr="00942C2E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1BFBCCCF" w14:textId="77777777" w:rsidR="002959AD" w:rsidRPr="00942C2E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 xml:space="preserve">Kandidatët që aplikojnë duhet të dorëzojnë Dokumentet si më poshtë: </w:t>
      </w:r>
    </w:p>
    <w:p w14:paraId="25ECD44D" w14:textId="77777777" w:rsidR="002959AD" w:rsidRPr="00942C2E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0999632B" w14:textId="77777777" w:rsidR="002959AD" w:rsidRPr="00942C2E" w:rsidRDefault="002959AD" w:rsidP="002959AD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5C7E3040" w14:textId="77777777" w:rsidR="002959AD" w:rsidRPr="00942C2E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700DF9F6" w14:textId="77777777" w:rsidR="002959AD" w:rsidRPr="00942C2E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633B5617" w14:textId="77777777" w:rsidR="002959AD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66296C8" w14:textId="77777777" w:rsidR="002959AD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F3F5C1C" w14:textId="77777777" w:rsidR="002959AD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CBD75E9" w14:textId="77777777" w:rsidR="002959AD" w:rsidRPr="00942C2E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0B616063" w14:textId="77777777" w:rsidR="002959AD" w:rsidRPr="00942C2E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31BB6971" w14:textId="77777777" w:rsidR="002959AD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7DC8E5B8" w14:textId="6708E2F9" w:rsidR="002959AD" w:rsidRPr="00E03167" w:rsidRDefault="002959AD" w:rsidP="002959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411943">
        <w:rPr>
          <w:rFonts w:ascii="Times New Roman" w:hAnsi="Times New Roman"/>
          <w:b/>
          <w:i/>
          <w:sz w:val="24"/>
          <w:szCs w:val="24"/>
          <w:lang w:val="it-IT"/>
        </w:rPr>
        <w:t>12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0</w:t>
      </w:r>
      <w:r w:rsidR="00411943">
        <w:rPr>
          <w:rFonts w:ascii="Times New Roman" w:hAnsi="Times New Roman"/>
          <w:b/>
          <w:i/>
          <w:sz w:val="24"/>
          <w:szCs w:val="24"/>
          <w:lang w:val="it-IT"/>
        </w:rPr>
        <w:t>2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E03167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959AD" w:rsidRPr="00A77F8B" w14:paraId="2064BAD3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21C399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5992E1" w14:textId="77777777" w:rsidR="002959AD" w:rsidRPr="00942C2E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535FF882" w14:textId="12CA2702" w:rsidR="002959AD" w:rsidRPr="00942C2E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411943">
        <w:rPr>
          <w:rFonts w:ascii="Times New Roman" w:hAnsi="Times New Roman"/>
          <w:b/>
          <w:sz w:val="24"/>
          <w:szCs w:val="24"/>
          <w:lang w:val="it-IT"/>
        </w:rPr>
        <w:t>13</w:t>
      </w:r>
      <w:r>
        <w:rPr>
          <w:rFonts w:ascii="Times New Roman" w:hAnsi="Times New Roman"/>
          <w:b/>
          <w:sz w:val="24"/>
          <w:szCs w:val="24"/>
          <w:lang w:val="it-IT"/>
        </w:rPr>
        <w:t>.0</w:t>
      </w:r>
      <w:r w:rsidR="00411943">
        <w:rPr>
          <w:rFonts w:ascii="Times New Roman" w:hAnsi="Times New Roman"/>
          <w:b/>
          <w:sz w:val="24"/>
          <w:szCs w:val="24"/>
          <w:lang w:val="it-IT"/>
        </w:rPr>
        <w:t>2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23CD747C" w14:textId="77777777" w:rsidR="002959AD" w:rsidRPr="00831AAA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959AD" w14:paraId="7DEBA901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FA8A0C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8EAF65" w14:textId="77777777" w:rsidR="002959AD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54BF7A2E" w14:textId="77777777" w:rsidR="002959AD" w:rsidRDefault="002959AD" w:rsidP="002959AD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0BF296D" w14:textId="77777777" w:rsidR="002959AD" w:rsidRDefault="002959AD" w:rsidP="002959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A517F5" w14:textId="77777777" w:rsidR="002959AD" w:rsidRPr="00D652E4" w:rsidRDefault="002959AD" w:rsidP="002959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6894F847" w14:textId="77777777" w:rsidR="002959AD" w:rsidRPr="00D652E4" w:rsidRDefault="002959AD" w:rsidP="002959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605B9AC" w14:textId="77777777" w:rsidR="002959AD" w:rsidRDefault="002959AD" w:rsidP="002959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14B0DB52" w14:textId="77777777" w:rsidR="002959AD" w:rsidRPr="00ED146C" w:rsidRDefault="002959AD" w:rsidP="002959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r w:rsidRPr="00ED146C">
        <w:rPr>
          <w:rFonts w:ascii="Times New Roman" w:hAnsi="Times New Roman"/>
          <w:sz w:val="24"/>
          <w:szCs w:val="24"/>
          <w:lang w:val="it-IT"/>
        </w:rPr>
        <w:t>Ligji nr. 8402/date 10.09.1998, “Për kontrollin dhe disiplinimin e punimeve të ndërtimit”, i ndryshuar</w:t>
      </w:r>
      <w:r w:rsidRPr="00ED146C">
        <w:rPr>
          <w:szCs w:val="24"/>
        </w:rPr>
        <w:t xml:space="preserve">; </w:t>
      </w:r>
    </w:p>
    <w:p w14:paraId="5FDA987A" w14:textId="77777777" w:rsidR="002959AD" w:rsidRPr="00ED146C" w:rsidRDefault="002959AD" w:rsidP="002959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Njohuri mbi </w:t>
      </w:r>
      <w:r w:rsidRPr="00D94FC3">
        <w:rPr>
          <w:rFonts w:ascii="Times New Roman" w:hAnsi="Times New Roman"/>
          <w:sz w:val="24"/>
          <w:szCs w:val="24"/>
          <w:lang w:val="it-IT"/>
        </w:rPr>
        <w:t>VKM nr. 408</w:t>
      </w:r>
      <w:r w:rsidRPr="00ED146C">
        <w:rPr>
          <w:rFonts w:ascii="Times New Roman" w:hAnsi="Times New Roman"/>
          <w:sz w:val="24"/>
          <w:szCs w:val="24"/>
          <w:lang w:val="it-IT"/>
        </w:rPr>
        <w:t>, datë 13.05.2015 “Për miratimin e rregullores së zhvillimit të territorit”,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959AD" w:rsidRPr="00A77F8B" w14:paraId="58AA29FA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18694B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8C4E72" w14:textId="77777777" w:rsidR="002959AD" w:rsidRPr="00942C2E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13194F5D" w14:textId="77777777" w:rsidR="002959AD" w:rsidRPr="00942C2E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4D0659B5" w14:textId="77777777" w:rsidR="002959AD" w:rsidRPr="00942C2E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07AC5411" w14:textId="77777777" w:rsidR="002959AD" w:rsidRPr="00942C2E" w:rsidRDefault="002959AD" w:rsidP="00295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7921C572" w14:textId="77777777" w:rsidR="002959AD" w:rsidRDefault="002959AD" w:rsidP="00295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FA0AC3D" w14:textId="77777777" w:rsidR="002959AD" w:rsidRPr="00942C2E" w:rsidRDefault="002959AD" w:rsidP="00295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71FC6385" w14:textId="77777777" w:rsidR="002959AD" w:rsidRPr="00942C2E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7A82CA77" w14:textId="77777777" w:rsidR="002959AD" w:rsidRPr="009F76D3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hyperlink r:id="rId9" w:history="1">
        <w:r w:rsidRPr="00942C2E">
          <w:rPr>
            <w:rStyle w:val="Hyperlink"/>
            <w:sz w:val="24"/>
            <w:szCs w:val="24"/>
            <w:lang w:val="it-IT"/>
          </w:rPr>
          <w:t>www.dap.gov.al</w:t>
        </w:r>
      </w:hyperlink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10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959AD" w:rsidRPr="00A77F8B" w14:paraId="1C9D39A7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69E3FD4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036097" w14:textId="77777777" w:rsidR="002959AD" w:rsidRPr="00942C2E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6B9895E" w14:textId="77777777" w:rsidR="002959AD" w:rsidRPr="009257FC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26D7D0AD" w14:textId="77777777" w:rsidR="002959AD" w:rsidRDefault="002959AD" w:rsidP="002959AD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959AD" w14:paraId="3A36B70E" w14:textId="77777777" w:rsidTr="00C01504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06D3FD5" w14:textId="77777777" w:rsidR="002959AD" w:rsidRDefault="002959AD" w:rsidP="00C015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60196468" w14:textId="77777777" w:rsidR="002959AD" w:rsidRDefault="002959AD" w:rsidP="002959AD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959AD" w14:paraId="2808BF7B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92DDF32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D84CD7" w14:textId="77777777" w:rsidR="002959AD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2A69065" w14:textId="77777777" w:rsidR="002959AD" w:rsidRDefault="002959AD" w:rsidP="002959A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AFE742A" w14:textId="77777777" w:rsidR="002959AD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EBB6AAB" w14:textId="77777777" w:rsidR="002959AD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6F7DBE4" w14:textId="77777777" w:rsidR="002959AD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DBB9564" w14:textId="77777777" w:rsidR="002959AD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05EF5D2" w14:textId="77777777" w:rsidR="002959AD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609409F" w14:textId="77777777" w:rsidR="002959AD" w:rsidRPr="003B7993" w:rsidRDefault="002959AD" w:rsidP="00295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00EA9A" w14:textId="77777777" w:rsidR="002959AD" w:rsidRPr="003B7993" w:rsidRDefault="002959AD" w:rsidP="002959AD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5A3503CA" w14:textId="77777777" w:rsidR="002959AD" w:rsidRPr="009F76D3" w:rsidRDefault="002959AD" w:rsidP="002959AD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Inxhinerike.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3EDF4129" w14:textId="77777777" w:rsidR="002959AD" w:rsidRPr="009F76D3" w:rsidRDefault="002959AD" w:rsidP="002959A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5D3A780" w14:textId="77777777" w:rsidR="002959AD" w:rsidRPr="009F76D3" w:rsidRDefault="002959AD" w:rsidP="002959A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73CD98A9" w14:textId="77777777" w:rsidR="002959AD" w:rsidRPr="003B7993" w:rsidRDefault="002959AD" w:rsidP="002959A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2959AD" w:rsidRPr="00A77F8B" w14:paraId="1BE8EBDC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1669052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BB5642" w14:textId="77777777" w:rsidR="002959AD" w:rsidRPr="009257FC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51AD0E25" w14:textId="77777777" w:rsidR="002959AD" w:rsidRPr="000F1A92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77047642" w14:textId="77777777" w:rsidR="002959AD" w:rsidRPr="000F1A92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0139B37F" w14:textId="77777777" w:rsidR="002959AD" w:rsidRPr="000F1A92" w:rsidRDefault="002959AD" w:rsidP="002959AD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1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1DA7C9CF" w14:textId="77777777" w:rsidR="002959AD" w:rsidRPr="000F1A92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48F5C64B" w14:textId="77777777" w:rsidR="002959AD" w:rsidRPr="000F1A92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17C50427" w14:textId="77777777" w:rsidR="002959AD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C3D0051" w14:textId="77777777" w:rsidR="002959AD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420D73" w14:textId="77777777" w:rsidR="002959AD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00ACF84" w14:textId="77777777" w:rsidR="002959AD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C7D384" w14:textId="77777777" w:rsidR="002959AD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0A639F" w14:textId="77777777" w:rsidR="002959AD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39C7731" w14:textId="77777777" w:rsidR="002959AD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9587FF" w14:textId="77777777" w:rsidR="002959AD" w:rsidRPr="00D41869" w:rsidRDefault="002959AD" w:rsidP="002959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8EE90C" w14:textId="77777777" w:rsidR="002959AD" w:rsidRPr="009F76D3" w:rsidRDefault="002959AD" w:rsidP="002959A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06.02.2025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959AD" w14:paraId="7A68691D" w14:textId="77777777" w:rsidTr="00C01504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08F6007" w14:textId="77777777" w:rsidR="002959AD" w:rsidRPr="000F1A92" w:rsidRDefault="002959AD" w:rsidP="00C01504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5763D152" w14:textId="77777777" w:rsidR="002959AD" w:rsidRDefault="002959AD" w:rsidP="00C0150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2B621C65" w14:textId="77777777" w:rsidR="002959AD" w:rsidRDefault="002959AD" w:rsidP="00C0150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E80DDA" w14:textId="77777777" w:rsidR="002959AD" w:rsidRDefault="002959AD" w:rsidP="00C0150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129586BB" w14:textId="77777777" w:rsidR="002959AD" w:rsidRDefault="002959AD" w:rsidP="002959A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959AD" w:rsidRPr="00A77F8B" w14:paraId="76275A83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D5E7DE4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105204" w14:textId="77777777" w:rsidR="002959AD" w:rsidRPr="009257FC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5EC8458E" w14:textId="77777777" w:rsidR="002959AD" w:rsidRPr="009257FC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Pr="00366900">
        <w:rPr>
          <w:rFonts w:ascii="Times New Roman" w:hAnsi="Times New Roman"/>
          <w:b/>
          <w:bCs/>
          <w:sz w:val="24"/>
          <w:szCs w:val="24"/>
          <w:lang w:val="it-IT"/>
        </w:rPr>
        <w:t>07.02.2025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44213D11" w14:textId="77777777" w:rsidR="002959AD" w:rsidRPr="009F76D3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959AD" w14:paraId="1A63DC86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307EE8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8159EE" w14:textId="77777777" w:rsidR="002959AD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40FCB16" w14:textId="77777777" w:rsidR="002959AD" w:rsidRDefault="002959AD" w:rsidP="002959AD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CEECCA1" w14:textId="77777777" w:rsidR="002959AD" w:rsidRDefault="002959AD" w:rsidP="002959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02D1AD3" w14:textId="77777777" w:rsidR="002959AD" w:rsidRPr="00D652E4" w:rsidRDefault="002959AD" w:rsidP="002959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7D6ADE80" w14:textId="77777777" w:rsidR="002959AD" w:rsidRPr="00D652E4" w:rsidRDefault="002959AD" w:rsidP="002959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7E6CA24" w14:textId="77777777" w:rsidR="002959AD" w:rsidRDefault="002959AD" w:rsidP="002959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3BE58173" w14:textId="77777777" w:rsidR="002959AD" w:rsidRPr="00ED146C" w:rsidRDefault="002959AD" w:rsidP="002959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r w:rsidRPr="00ED146C">
        <w:rPr>
          <w:rFonts w:ascii="Times New Roman" w:hAnsi="Times New Roman"/>
          <w:sz w:val="24"/>
          <w:szCs w:val="24"/>
          <w:lang w:val="it-IT"/>
        </w:rPr>
        <w:t>Ligji nr. 8402/date 10.09.1998, “Për kontrollin dhe disiplinimin e punimeve të ndërtimit”, i ndryshuar</w:t>
      </w:r>
      <w:r w:rsidRPr="00ED146C">
        <w:rPr>
          <w:szCs w:val="24"/>
        </w:rPr>
        <w:t xml:space="preserve">; </w:t>
      </w:r>
    </w:p>
    <w:p w14:paraId="6EA3DF5B" w14:textId="77777777" w:rsidR="002959AD" w:rsidRPr="00ED146C" w:rsidRDefault="002959AD" w:rsidP="002959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r w:rsidRPr="00D94FC3">
        <w:rPr>
          <w:rFonts w:ascii="Times New Roman" w:hAnsi="Times New Roman"/>
          <w:sz w:val="24"/>
          <w:szCs w:val="24"/>
          <w:lang w:val="it-IT"/>
        </w:rPr>
        <w:t>VKM nr. 408</w:t>
      </w:r>
      <w:r w:rsidRPr="00ED146C">
        <w:rPr>
          <w:rFonts w:ascii="Times New Roman" w:hAnsi="Times New Roman"/>
          <w:sz w:val="24"/>
          <w:szCs w:val="24"/>
          <w:lang w:val="it-IT"/>
        </w:rPr>
        <w:t>, datë 13.05.2015 “Për miratimin e rregullores së zhvillimit të territorit”,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959AD" w:rsidRPr="00A77F8B" w14:paraId="258CC473" w14:textId="77777777" w:rsidTr="00C0150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BCAA4F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DE631B" w14:textId="77777777" w:rsidR="002959AD" w:rsidRPr="009257FC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245927C0" w14:textId="77777777" w:rsidR="002959AD" w:rsidRPr="009257FC" w:rsidRDefault="002959AD" w:rsidP="002959AD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B56BE87" w14:textId="77777777" w:rsidR="002959AD" w:rsidRDefault="002959AD" w:rsidP="002959AD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19D8095A" w14:textId="77777777" w:rsidR="002959AD" w:rsidRPr="009257FC" w:rsidRDefault="002959AD" w:rsidP="002959A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0FEB800A" w14:textId="77777777" w:rsidR="002959AD" w:rsidRPr="009257FC" w:rsidRDefault="002959AD" w:rsidP="002959A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589BB7E7" w14:textId="77777777" w:rsidR="002959AD" w:rsidRPr="009257FC" w:rsidRDefault="002959AD" w:rsidP="002959A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Jetëshkrimin, që konsiston në vlerësimin e arsimimit, të përvojës e të trajnimeve, të lidhura me fushën, deri në 15 pikë; </w:t>
      </w:r>
    </w:p>
    <w:p w14:paraId="68EB0291" w14:textId="77777777" w:rsidR="002959AD" w:rsidRPr="000727A3" w:rsidRDefault="002959AD" w:rsidP="002959AD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2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3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959AD" w:rsidRPr="00A77F8B" w14:paraId="5637A42C" w14:textId="77777777" w:rsidTr="00C0150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CE52DD" w14:textId="77777777" w:rsidR="002959AD" w:rsidRDefault="002959AD" w:rsidP="00C01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4DA81F" w14:textId="77777777" w:rsidR="002959AD" w:rsidRPr="009257FC" w:rsidRDefault="002959AD" w:rsidP="00C0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2FA21004" w14:textId="77777777" w:rsidR="002959AD" w:rsidRPr="00142304" w:rsidRDefault="002959AD" w:rsidP="002959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774D2FBC" w14:textId="77777777" w:rsidR="002959AD" w:rsidRDefault="002959AD" w:rsidP="002959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672D27AC" w14:textId="77777777" w:rsidR="002959AD" w:rsidRPr="001952F4" w:rsidRDefault="002959AD" w:rsidP="002959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4A57CC5F" w14:textId="77777777" w:rsidR="002959AD" w:rsidRDefault="002959AD" w:rsidP="002959AD"/>
    <w:p w14:paraId="25483F04" w14:textId="77777777" w:rsidR="002959AD" w:rsidRDefault="002959AD" w:rsidP="002959AD"/>
    <w:p w14:paraId="5FA64282" w14:textId="77777777" w:rsidR="002959AD" w:rsidRDefault="002959AD" w:rsidP="002959AD"/>
    <w:p w14:paraId="08526F10" w14:textId="77777777" w:rsidR="002959AD" w:rsidRDefault="002959AD" w:rsidP="002959AD"/>
    <w:p w14:paraId="5D7B79A0" w14:textId="77777777" w:rsidR="002959AD" w:rsidRDefault="002959AD" w:rsidP="002959AD"/>
    <w:p w14:paraId="64F5CD88" w14:textId="77777777" w:rsidR="002959AD" w:rsidRDefault="002959AD" w:rsidP="002959AD"/>
    <w:p w14:paraId="44DAD583" w14:textId="77777777" w:rsidR="002959AD" w:rsidRDefault="002959AD" w:rsidP="002959AD"/>
    <w:p w14:paraId="1A3DED24" w14:textId="77777777" w:rsidR="002959AD" w:rsidRDefault="002959AD" w:rsidP="002959AD"/>
    <w:p w14:paraId="54BF3CCB" w14:textId="77777777" w:rsidR="002959AD" w:rsidRDefault="002959AD" w:rsidP="002959AD"/>
    <w:p w14:paraId="478C12DC" w14:textId="77777777" w:rsidR="002959AD" w:rsidRDefault="002959AD" w:rsidP="002959AD"/>
    <w:p w14:paraId="63BC56F7" w14:textId="77777777" w:rsidR="002959AD" w:rsidRDefault="002959AD" w:rsidP="002959AD"/>
    <w:p w14:paraId="629944E7" w14:textId="77777777" w:rsidR="00616267" w:rsidRDefault="00616267"/>
    <w:sectPr w:rsidR="0061626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FCC1" w14:textId="77777777" w:rsidR="003602BB" w:rsidRDefault="003602BB" w:rsidP="002959AD">
      <w:pPr>
        <w:spacing w:after="0" w:line="240" w:lineRule="auto"/>
      </w:pPr>
      <w:r>
        <w:separator/>
      </w:r>
    </w:p>
  </w:endnote>
  <w:endnote w:type="continuationSeparator" w:id="0">
    <w:p w14:paraId="6348D08D" w14:textId="77777777" w:rsidR="003602BB" w:rsidRDefault="003602BB" w:rsidP="0029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17A8" w14:textId="77777777" w:rsidR="002959AD" w:rsidRPr="00E7568C" w:rsidRDefault="002959AD" w:rsidP="002959AD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1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1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2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2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p w14:paraId="14675C22" w14:textId="77777777" w:rsidR="002959AD" w:rsidRDefault="0029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8F53" w14:textId="77777777" w:rsidR="003602BB" w:rsidRDefault="003602BB" w:rsidP="002959AD">
      <w:pPr>
        <w:spacing w:after="0" w:line="240" w:lineRule="auto"/>
      </w:pPr>
      <w:r>
        <w:separator/>
      </w:r>
    </w:p>
  </w:footnote>
  <w:footnote w:type="continuationSeparator" w:id="0">
    <w:p w14:paraId="0CA20553" w14:textId="77777777" w:rsidR="003602BB" w:rsidRDefault="003602BB" w:rsidP="0029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0F25E3"/>
    <w:multiLevelType w:val="hybridMultilevel"/>
    <w:tmpl w:val="4A284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F3CC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AD"/>
    <w:rsid w:val="002959AD"/>
    <w:rsid w:val="003602BB"/>
    <w:rsid w:val="00411943"/>
    <w:rsid w:val="004B00AD"/>
    <w:rsid w:val="00616267"/>
    <w:rsid w:val="006B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6C71"/>
  <w15:chartTrackingRefBased/>
  <w15:docId w15:val="{051473BC-0791-49EB-8BF5-C6D30897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2959A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59AD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2959A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9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959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959AD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1935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2025-02-05T12:32:00Z</dcterms:created>
  <dcterms:modified xsi:type="dcterms:W3CDTF">2025-02-05T12:39:00Z</dcterms:modified>
</cp:coreProperties>
</file>