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8" w:rsidRDefault="00BC3C28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D50302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</w:t>
      </w:r>
      <w:r w:rsidR="00621F2F">
        <w:rPr>
          <w:rFonts w:ascii="Times New Roman" w:hAnsi="Times New Roman"/>
          <w:b/>
          <w:sz w:val="24"/>
          <w:szCs w:val="24"/>
        </w:rPr>
        <w:t>LËVIZJE PARALELE DHE NGRITJE NË DETYRË</w:t>
      </w:r>
    </w:p>
    <w:p w:rsidR="00621F2F" w:rsidRPr="00676823" w:rsidRDefault="00621F2F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kategrinë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ulët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mesme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drejtuese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302" w:rsidRPr="00F934F0" w:rsidRDefault="00D50302" w:rsidP="00D50302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proofErr w:type="gram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</w:t>
      </w:r>
      <w:r w:rsidR="00E9680E">
        <w:rPr>
          <w:rFonts w:ascii="Times New Roman" w:hAnsi="Times New Roman"/>
          <w:b/>
          <w:sz w:val="24"/>
          <w:szCs w:val="24"/>
        </w:rPr>
        <w:t>n</w:t>
      </w:r>
      <w:r w:rsidR="00E23391">
        <w:rPr>
          <w:rFonts w:ascii="Times New Roman" w:hAnsi="Times New Roman"/>
          <w:b/>
          <w:sz w:val="24"/>
          <w:szCs w:val="24"/>
        </w:rPr>
        <w:t>tegrimit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F23693" w:rsidRDefault="00D50302" w:rsidP="00D50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</w:t>
      </w:r>
      <w:r w:rsidR="005B3A2A">
        <w:rPr>
          <w:rFonts w:ascii="Times New Roman" w:hAnsi="Times New Roman"/>
          <w:sz w:val="24"/>
          <w:szCs w:val="24"/>
          <w:lang w:val="de-DE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D96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E23391" w:rsidRPr="00E23391" w:rsidRDefault="00E23391" w:rsidP="00E23391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proofErr w:type="gram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r w:rsidR="00BC06A9">
        <w:rPr>
          <w:rFonts w:ascii="Times New Roman" w:hAnsi="Times New Roman"/>
          <w:b/>
          <w:sz w:val="24"/>
          <w:szCs w:val="24"/>
        </w:rPr>
        <w:t>n</w:t>
      </w:r>
      <w:r w:rsidRPr="00E23391">
        <w:rPr>
          <w:rFonts w:ascii="Times New Roman" w:hAnsi="Times New Roman"/>
          <w:b/>
          <w:sz w:val="24"/>
          <w:szCs w:val="24"/>
        </w:rPr>
        <w:t>tegrimit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423623" w:rsidRDefault="00D50302" w:rsidP="00D50302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B54F1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D50302" w:rsidRPr="00676823" w:rsidRDefault="00D50302" w:rsidP="00D50302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2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  <w:sectPr w:rsidR="00D50302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D50302" w:rsidRPr="00676823" w:rsidRDefault="00D50302" w:rsidP="00D50302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030867" w:rsidRPr="00676823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030867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 w:rsidR="00D55BC8">
        <w:rPr>
          <w:rFonts w:ascii="Times New Roman" w:hAnsi="Times New Roman"/>
          <w:b/>
          <w:sz w:val="24"/>
          <w:szCs w:val="24"/>
        </w:rPr>
        <w:t xml:space="preserve">                          17.02.2025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50302" w:rsidRPr="00676823" w:rsidRDefault="00D50302" w:rsidP="00D50302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607D90">
        <w:rPr>
          <w:rFonts w:ascii="Times New Roman" w:hAnsi="Times New Roman"/>
          <w:b/>
          <w:sz w:val="24"/>
          <w:szCs w:val="24"/>
        </w:rPr>
        <w:t>Ë</w:t>
      </w:r>
      <w:r w:rsidR="00D55BC8">
        <w:rPr>
          <w:rFonts w:ascii="Times New Roman" w:hAnsi="Times New Roman"/>
          <w:b/>
          <w:sz w:val="24"/>
          <w:szCs w:val="24"/>
        </w:rPr>
        <w:t>:                              20.02.2025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50302" w:rsidRPr="00030867" w:rsidRDefault="00D50302" w:rsidP="00030867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</w:p>
    <w:p w:rsidR="00B76948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</w:p>
    <w:p w:rsidR="00B76948" w:rsidRPr="004B1B94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B76948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Pr="004B1B94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Default="00D50302" w:rsidP="00D5030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50302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D50302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76948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B76948" w:rsidRPr="00676823" w:rsidRDefault="00B76948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302" w:rsidRPr="00676823" w:rsidTr="00CF04B0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A68BF" w:rsidRPr="002A2CDD" w:rsidRDefault="009A68BF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ngritjes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pushtetin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vendor;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mbarëvajtjes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nënligjore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D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masën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sasinë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efiçentë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ndiqën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kontabilitëtit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mirë-menaxhimin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89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sistëm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Ofron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mbështëtje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kompetëncës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paraqitën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sektorëve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përbërës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rezultatëve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gjykon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C435F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mirëpërcaktuara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Ofron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dokumentacionin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kërkuar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nga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subjektet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kanë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qasje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sistemin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Mban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kontaktet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takimet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instit</w:t>
            </w:r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ucionet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interes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projektit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Kryen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gjitha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veprimet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punët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cilat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lidhën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procesin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Menaxhimi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koordinimi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mbështetja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strategjike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operacionale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(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)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përfshirë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monitorimin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rishikimin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tyre</w:t>
            </w:r>
            <w:proofErr w:type="spellEnd"/>
            <w:r w:rsidR="00030867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D50302" w:rsidRPr="00676823" w:rsidRDefault="00D50302" w:rsidP="00C435F6">
            <w:pPr>
              <w:spacing w:before="100" w:beforeAutospacing="1" w:after="100" w:afterAutospacing="1"/>
              <w:rPr>
                <w:lang w:val="sq-AL"/>
              </w:rPr>
            </w:pPr>
          </w:p>
        </w:tc>
      </w:tr>
      <w:tr w:rsidR="00D50302" w:rsidRPr="00676823" w:rsidTr="00CF04B0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D50302" w:rsidRPr="00676823" w:rsidRDefault="00D50302" w:rsidP="00D50302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18" w:rsidRPr="00E13FF4" w:rsidRDefault="00D50302" w:rsidP="00DD31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6B6B6B"/>
          <w:sz w:val="21"/>
          <w:szCs w:val="21"/>
        </w:rPr>
      </w:pPr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Të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zotërojnë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diplomë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te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nivelit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E13FF4">
        <w:rPr>
          <w:rFonts w:ascii="Times New Roman" w:hAnsi="Times New Roman"/>
          <w:sz w:val="24"/>
          <w:szCs w:val="24"/>
        </w:rPr>
        <w:t>Shkencor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FF4">
        <w:rPr>
          <w:rFonts w:ascii="Times New Roman" w:hAnsi="Times New Roman"/>
          <w:sz w:val="24"/>
          <w:szCs w:val="24"/>
        </w:rPr>
        <w:t>në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shkencat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Inxhinieri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 w:rsidRPr="00E13FF4">
        <w:rPr>
          <w:rFonts w:ascii="Times New Roman" w:hAnsi="Times New Roman"/>
          <w:sz w:val="24"/>
          <w:szCs w:val="24"/>
        </w:rPr>
        <w:t>Ndërtimi</w:t>
      </w:r>
      <w:proofErr w:type="spellEnd"/>
      <w:r w:rsidR="00BC25FD" w:rsidRPr="00E13FF4">
        <w:rPr>
          <w:rFonts w:ascii="Times New Roman" w:hAnsi="Times New Roman"/>
          <w:sz w:val="24"/>
          <w:szCs w:val="24"/>
        </w:rPr>
        <w:t>/</w:t>
      </w:r>
      <w:r w:rsidR="00DD3118" w:rsidRPr="00E13FF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ose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Inxhinieri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Mekanike</w:t>
      </w:r>
      <w:proofErr w:type="spellEnd"/>
      <w:r w:rsidR="00DD3118" w:rsidRPr="00E13FF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DD3118" w:rsidRPr="00E13FF4">
        <w:rPr>
          <w:rFonts w:ascii="Times New Roman" w:hAnsi="Times New Roman"/>
          <w:sz w:val="24"/>
          <w:szCs w:val="24"/>
        </w:rPr>
        <w:t>Ekonomik</w:t>
      </w:r>
      <w:proofErr w:type="spellEnd"/>
      <w:r w:rsidRPr="00E13FF4">
        <w:rPr>
          <w:rFonts w:ascii="Times New Roman" w:hAnsi="Times New Roman"/>
          <w:sz w:val="24"/>
          <w:szCs w:val="24"/>
        </w:rPr>
        <w:t xml:space="preserve">” </w:t>
      </w:r>
      <w:r w:rsidRPr="00E13FF4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</w:t>
      </w:r>
      <w:r w:rsidR="00DD3118" w:rsidRPr="00E13FF4">
        <w:rPr>
          <w:rFonts w:ascii="Times New Roman" w:hAnsi="Times New Roman"/>
          <w:i/>
          <w:sz w:val="24"/>
          <w:szCs w:val="24"/>
          <w:lang w:val="de-DE"/>
        </w:rPr>
        <w:t>i</w:t>
      </w:r>
    </w:p>
    <w:p w:rsidR="00DD3118" w:rsidRPr="00E13FF4" w:rsidRDefault="00DD3118" w:rsidP="00466926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E13FF4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E13FF4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E13FF4" w:rsidRDefault="00DD3118" w:rsidP="00D50302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E13FF4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</w:t>
            </w:r>
            <w:proofErr w:type="gram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  <w:proofErr w:type="gramEnd"/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676823" w:rsidRDefault="00980B5F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D50302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2B7F">
        <w:rPr>
          <w:rFonts w:ascii="Times New Roman" w:hAnsi="Times New Roman"/>
          <w:b/>
          <w:i/>
          <w:sz w:val="24"/>
          <w:szCs w:val="24"/>
        </w:rPr>
        <w:t>17.02.</w:t>
      </w:r>
      <w:r w:rsidR="000E1718">
        <w:rPr>
          <w:rFonts w:ascii="Times New Roman" w:hAnsi="Times New Roman"/>
          <w:b/>
          <w:i/>
          <w:sz w:val="24"/>
          <w:szCs w:val="24"/>
        </w:rPr>
        <w:t>2025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Brenda datës</w:t>
      </w:r>
      <w:r w:rsidR="00922B7F">
        <w:rPr>
          <w:rFonts w:ascii="Times New Roman" w:hAnsi="Times New Roman"/>
          <w:sz w:val="24"/>
          <w:szCs w:val="24"/>
        </w:rPr>
        <w:t>19.02.</w:t>
      </w:r>
      <w:r w:rsidR="00A20E2E">
        <w:rPr>
          <w:rFonts w:ascii="Times New Roman" w:hAnsi="Times New Roman"/>
          <w:sz w:val="24"/>
          <w:szCs w:val="24"/>
        </w:rPr>
        <w:t>2025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CDD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6C68" w:rsidRDefault="00526C68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50302" w:rsidRPr="00EC5681" w:rsidRDefault="00D50302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61F9F" w:rsidRPr="00E61F9F" w:rsidRDefault="00316B3E" w:rsidP="00E61F9F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</w:t>
      </w:r>
      <w:r w:rsidR="000E1718">
        <w:rPr>
          <w:rFonts w:ascii="Times New Roman" w:hAnsi="Times New Roman" w:cs="Times New Roman"/>
          <w:sz w:val="24"/>
          <w:szCs w:val="24"/>
        </w:rPr>
        <w:t>ë</w:t>
      </w:r>
      <w:r w:rsidRPr="00092B1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17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1718">
        <w:rPr>
          <w:rFonts w:ascii="Times New Roman" w:hAnsi="Times New Roman" w:cs="Times New Roman"/>
          <w:sz w:val="24"/>
          <w:szCs w:val="24"/>
        </w:rPr>
        <w:t xml:space="preserve"> </w:t>
      </w: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proofErr w:type="gram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7D" w:rsidRDefault="00324F7D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D50302" w:rsidRPr="00676823" w:rsidRDefault="00D50302" w:rsidP="00D50302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980B5F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122203" w:rsidRDefault="00D50302" w:rsidP="00D50302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D50302" w:rsidRPr="0012220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12220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D50302" w:rsidRDefault="00D50302" w:rsidP="00D50302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D50302" w:rsidRPr="005777E0" w:rsidRDefault="00D50302" w:rsidP="00D50302"/>
    <w:p w:rsidR="00D50302" w:rsidRPr="00676823" w:rsidRDefault="00D50302" w:rsidP="00D50302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Default="00D50302" w:rsidP="00D50302"/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466926">
      <w:pPr>
        <w:pStyle w:val="ListParagraph"/>
        <w:widowControl w:val="0"/>
        <w:numPr>
          <w:ilvl w:val="0"/>
          <w:numId w:val="3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te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shkencat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B7F">
        <w:rPr>
          <w:rFonts w:ascii="Times New Roman" w:hAnsi="Times New Roman"/>
          <w:sz w:val="24"/>
          <w:szCs w:val="24"/>
        </w:rPr>
        <w:t>P</w:t>
      </w:r>
      <w:r w:rsidR="000E1718">
        <w:rPr>
          <w:rFonts w:ascii="Times New Roman" w:hAnsi="Times New Roman"/>
          <w:sz w:val="24"/>
          <w:szCs w:val="24"/>
        </w:rPr>
        <w:t>olitike</w:t>
      </w:r>
      <w:proofErr w:type="spellEnd"/>
      <w:r w:rsidR="000E1718">
        <w:rPr>
          <w:rFonts w:ascii="Times New Roman" w:hAnsi="Times New Roman"/>
          <w:sz w:val="24"/>
          <w:szCs w:val="24"/>
        </w:rPr>
        <w:t>, “</w:t>
      </w:r>
      <w:proofErr w:type="spellStart"/>
      <w:r w:rsidR="000E1718">
        <w:rPr>
          <w:rFonts w:ascii="Times New Roman" w:hAnsi="Times New Roman"/>
          <w:sz w:val="24"/>
          <w:szCs w:val="24"/>
        </w:rPr>
        <w:t>marrëdhëniet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ndërkombëtare</w:t>
      </w:r>
      <w:proofErr w:type="spellEnd"/>
      <w:r w:rsidR="000E1718">
        <w:rPr>
          <w:rFonts w:ascii="Times New Roman" w:hAnsi="Times New Roman"/>
          <w:sz w:val="24"/>
          <w:szCs w:val="24"/>
        </w:rPr>
        <w:t>”, “</w:t>
      </w:r>
      <w:proofErr w:type="spellStart"/>
      <w:r w:rsidR="000E1718">
        <w:rPr>
          <w:rFonts w:ascii="Times New Roman" w:hAnsi="Times New Roman"/>
          <w:sz w:val="24"/>
          <w:szCs w:val="24"/>
        </w:rPr>
        <w:t>Shkencat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ekonomike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“, “</w:t>
      </w:r>
      <w:proofErr w:type="spellStart"/>
      <w:r w:rsidR="000E1718">
        <w:rPr>
          <w:rFonts w:ascii="Times New Roman" w:hAnsi="Times New Roman"/>
          <w:sz w:val="24"/>
          <w:szCs w:val="24"/>
        </w:rPr>
        <w:t>Shkencat</w:t>
      </w:r>
      <w:proofErr w:type="spellEnd"/>
      <w:r w:rsidR="000E1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718">
        <w:rPr>
          <w:rFonts w:ascii="Times New Roman" w:hAnsi="Times New Roman"/>
          <w:sz w:val="24"/>
          <w:szCs w:val="24"/>
        </w:rPr>
        <w:t>inxhinierike</w:t>
      </w:r>
      <w:proofErr w:type="spellEnd"/>
      <w:r w:rsidR="000E1718">
        <w:rPr>
          <w:rFonts w:ascii="Times New Roman" w:hAnsi="Times New Roman"/>
          <w:sz w:val="24"/>
          <w:szCs w:val="24"/>
        </w:rPr>
        <w:t>”.</w:t>
      </w:r>
      <w:r w:rsidR="00BC73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="000E1718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466926" w:rsidRPr="00466926" w:rsidRDefault="00466926" w:rsidP="00466926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466926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56743A" w:rsidRDefault="00466926" w:rsidP="0046692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466926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676823" w:rsidRDefault="00D50302" w:rsidP="00D50302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D50302" w:rsidRPr="00676823" w:rsidRDefault="00D50302" w:rsidP="00D50302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0302" w:rsidRDefault="00980B5F" w:rsidP="00D5030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D50302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50302" w:rsidRPr="004529E5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50302" w:rsidRPr="00676823" w:rsidRDefault="00D50302" w:rsidP="00D50302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324F7D">
        <w:rPr>
          <w:rFonts w:ascii="Times New Roman" w:hAnsi="Times New Roman" w:cs="Times New Roman"/>
          <w:b/>
          <w:sz w:val="24"/>
          <w:szCs w:val="24"/>
        </w:rPr>
        <w:t>ë</w:t>
      </w:r>
      <w:r w:rsidR="0046692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6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B7F">
        <w:rPr>
          <w:rFonts w:ascii="Times New Roman" w:hAnsi="Times New Roman" w:cs="Times New Roman"/>
          <w:b/>
          <w:sz w:val="24"/>
          <w:szCs w:val="24"/>
        </w:rPr>
        <w:t>20.02.2025.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D50302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922B7F">
        <w:rPr>
          <w:rFonts w:ascii="Times New Roman" w:hAnsi="Times New Roman"/>
          <w:sz w:val="24"/>
          <w:szCs w:val="24"/>
        </w:rPr>
        <w:t>24.02.</w:t>
      </w:r>
      <w:r w:rsidR="00793072">
        <w:rPr>
          <w:rFonts w:ascii="Times New Roman" w:hAnsi="Times New Roman"/>
          <w:sz w:val="24"/>
          <w:szCs w:val="24"/>
        </w:rPr>
        <w:t>2025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B74F6A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D50302" w:rsidRPr="00676823" w:rsidRDefault="00D50302" w:rsidP="00D50302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2B17" w:rsidRPr="00C71742" w:rsidRDefault="00092B17" w:rsidP="00D50302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Default="00092B17" w:rsidP="00D50302">
      <w:pPr>
        <w:pStyle w:val="BodyText"/>
        <w:spacing w:before="5" w:line="276" w:lineRule="auto"/>
        <w:jc w:val="both"/>
      </w:pPr>
    </w:p>
    <w:p w:rsidR="00D50302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D50302" w:rsidRPr="00676823" w:rsidRDefault="00D50302" w:rsidP="00D50302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Pr="00A00034" w:rsidRDefault="00D50302" w:rsidP="00A0003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980B5F" w:rsidP="00D50302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B4889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D50302" w:rsidRPr="00951376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A00034">
        <w:rPr>
          <w:rFonts w:ascii="Times New Roman" w:hAnsi="Times New Roman" w:cs="Times New Roman"/>
          <w:color w:val="C00000"/>
          <w:sz w:val="24"/>
          <w:szCs w:val="24"/>
        </w:rPr>
        <w:t>24.02.</w:t>
      </w:r>
      <w:r w:rsidR="00C71742">
        <w:rPr>
          <w:rFonts w:ascii="Times New Roman" w:hAnsi="Times New Roman" w:cs="Times New Roman"/>
          <w:color w:val="C00000"/>
          <w:sz w:val="24"/>
          <w:szCs w:val="24"/>
        </w:rPr>
        <w:t>2025</w:t>
      </w:r>
      <w:r w:rsidR="00A0003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50302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B5F" w:rsidRDefault="00980B5F" w:rsidP="00BD3385">
      <w:pPr>
        <w:spacing w:after="0" w:line="240" w:lineRule="auto"/>
      </w:pPr>
      <w:r>
        <w:separator/>
      </w:r>
    </w:p>
  </w:endnote>
  <w:endnote w:type="continuationSeparator" w:id="0">
    <w:p w:rsidR="00980B5F" w:rsidRDefault="00980B5F" w:rsidP="00B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980B5F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980B5F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980B5F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E23391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B5F" w:rsidRDefault="00980B5F" w:rsidP="00BD3385">
      <w:pPr>
        <w:spacing w:after="0" w:line="240" w:lineRule="auto"/>
      </w:pPr>
      <w:r>
        <w:separator/>
      </w:r>
    </w:p>
  </w:footnote>
  <w:footnote w:type="continuationSeparator" w:id="0">
    <w:p w:rsidR="00980B5F" w:rsidRDefault="00980B5F" w:rsidP="00BD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E23391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E23391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E23391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28C41C7"/>
    <w:multiLevelType w:val="multilevel"/>
    <w:tmpl w:val="813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8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89F"/>
    <w:multiLevelType w:val="multilevel"/>
    <w:tmpl w:val="F4B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2FE420E"/>
    <w:multiLevelType w:val="hybridMultilevel"/>
    <w:tmpl w:val="2B20C87E"/>
    <w:lvl w:ilvl="0" w:tplc="0AB886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017BF"/>
    <w:multiLevelType w:val="hybridMultilevel"/>
    <w:tmpl w:val="64E2A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5CAB"/>
    <w:multiLevelType w:val="multilevel"/>
    <w:tmpl w:val="BC2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662A"/>
    <w:multiLevelType w:val="hybridMultilevel"/>
    <w:tmpl w:val="4BB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5E2F14"/>
    <w:multiLevelType w:val="hybridMultilevel"/>
    <w:tmpl w:val="777EC224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AE4BBC"/>
    <w:multiLevelType w:val="hybridMultilevel"/>
    <w:tmpl w:val="5A58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7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423C3E"/>
    <w:multiLevelType w:val="hybridMultilevel"/>
    <w:tmpl w:val="B822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2F7B"/>
    <w:multiLevelType w:val="hybridMultilevel"/>
    <w:tmpl w:val="8D56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3" w15:restartNumberingAfterBreak="0">
    <w:nsid w:val="7DAC7305"/>
    <w:multiLevelType w:val="hybridMultilevel"/>
    <w:tmpl w:val="9D2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7D50"/>
    <w:multiLevelType w:val="hybridMultilevel"/>
    <w:tmpl w:val="61F46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B17"/>
    <w:multiLevelType w:val="hybridMultilevel"/>
    <w:tmpl w:val="891E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738391C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7"/>
  </w:num>
  <w:num w:numId="5">
    <w:abstractNumId w:val="26"/>
  </w:num>
  <w:num w:numId="6">
    <w:abstractNumId w:val="20"/>
  </w:num>
  <w:num w:numId="7">
    <w:abstractNumId w:val="2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2"/>
  </w:num>
  <w:num w:numId="17">
    <w:abstractNumId w:val="7"/>
  </w:num>
  <w:num w:numId="18">
    <w:abstractNumId w:val="0"/>
  </w:num>
  <w:num w:numId="19">
    <w:abstractNumId w:val="13"/>
  </w:num>
  <w:num w:numId="20">
    <w:abstractNumId w:val="12"/>
  </w:num>
  <w:num w:numId="21">
    <w:abstractNumId w:val="10"/>
  </w:num>
  <w:num w:numId="22">
    <w:abstractNumId w:val="35"/>
  </w:num>
  <w:num w:numId="23">
    <w:abstractNumId w:val="14"/>
  </w:num>
  <w:num w:numId="24">
    <w:abstractNumId w:val="1"/>
  </w:num>
  <w:num w:numId="25">
    <w:abstractNumId w:val="23"/>
  </w:num>
  <w:num w:numId="26">
    <w:abstractNumId w:val="34"/>
  </w:num>
  <w:num w:numId="27">
    <w:abstractNumId w:val="25"/>
  </w:num>
  <w:num w:numId="28">
    <w:abstractNumId w:val="31"/>
  </w:num>
  <w:num w:numId="29">
    <w:abstractNumId w:val="28"/>
  </w:num>
  <w:num w:numId="30">
    <w:abstractNumId w:val="19"/>
  </w:num>
  <w:num w:numId="31">
    <w:abstractNumId w:val="30"/>
  </w:num>
  <w:num w:numId="32">
    <w:abstractNumId w:val="8"/>
  </w:num>
  <w:num w:numId="33">
    <w:abstractNumId w:val="29"/>
  </w:num>
  <w:num w:numId="34">
    <w:abstractNumId w:val="9"/>
  </w:num>
  <w:num w:numId="35">
    <w:abstractNumId w:val="5"/>
  </w:num>
  <w:num w:numId="36">
    <w:abstractNumId w:val="15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2"/>
    <w:rsid w:val="00030867"/>
    <w:rsid w:val="00045091"/>
    <w:rsid w:val="00047CC2"/>
    <w:rsid w:val="00092B17"/>
    <w:rsid w:val="000B688F"/>
    <w:rsid w:val="000E1718"/>
    <w:rsid w:val="000F7C64"/>
    <w:rsid w:val="001B4889"/>
    <w:rsid w:val="002A2CDD"/>
    <w:rsid w:val="003129E5"/>
    <w:rsid w:val="00316B3E"/>
    <w:rsid w:val="00324F7D"/>
    <w:rsid w:val="00333A67"/>
    <w:rsid w:val="00363DF6"/>
    <w:rsid w:val="00381AAB"/>
    <w:rsid w:val="00384530"/>
    <w:rsid w:val="003A0DA8"/>
    <w:rsid w:val="003B722B"/>
    <w:rsid w:val="00410F9E"/>
    <w:rsid w:val="004364AB"/>
    <w:rsid w:val="00466926"/>
    <w:rsid w:val="004F2BEC"/>
    <w:rsid w:val="00526C68"/>
    <w:rsid w:val="005346A7"/>
    <w:rsid w:val="0056743A"/>
    <w:rsid w:val="00587587"/>
    <w:rsid w:val="005B3A2A"/>
    <w:rsid w:val="005D67BA"/>
    <w:rsid w:val="00607D90"/>
    <w:rsid w:val="00621F2F"/>
    <w:rsid w:val="00632290"/>
    <w:rsid w:val="006A013D"/>
    <w:rsid w:val="006B0C0C"/>
    <w:rsid w:val="00770459"/>
    <w:rsid w:val="00775A79"/>
    <w:rsid w:val="00776AFD"/>
    <w:rsid w:val="00793072"/>
    <w:rsid w:val="00793F90"/>
    <w:rsid w:val="00922B7F"/>
    <w:rsid w:val="00945FE9"/>
    <w:rsid w:val="00974C37"/>
    <w:rsid w:val="00980B5F"/>
    <w:rsid w:val="009A0357"/>
    <w:rsid w:val="009A2745"/>
    <w:rsid w:val="009A68BF"/>
    <w:rsid w:val="009A7C8B"/>
    <w:rsid w:val="009C6119"/>
    <w:rsid w:val="009D63E0"/>
    <w:rsid w:val="00A00034"/>
    <w:rsid w:val="00A0063E"/>
    <w:rsid w:val="00A20E2E"/>
    <w:rsid w:val="00AC33BD"/>
    <w:rsid w:val="00AD34E1"/>
    <w:rsid w:val="00AD59B0"/>
    <w:rsid w:val="00AF7F8B"/>
    <w:rsid w:val="00B54F19"/>
    <w:rsid w:val="00B76948"/>
    <w:rsid w:val="00BC06A9"/>
    <w:rsid w:val="00BC25FD"/>
    <w:rsid w:val="00BC3C28"/>
    <w:rsid w:val="00BC737D"/>
    <w:rsid w:val="00BD3385"/>
    <w:rsid w:val="00C02D96"/>
    <w:rsid w:val="00C257B3"/>
    <w:rsid w:val="00C435F6"/>
    <w:rsid w:val="00C71742"/>
    <w:rsid w:val="00CA61BA"/>
    <w:rsid w:val="00D50302"/>
    <w:rsid w:val="00D55BC8"/>
    <w:rsid w:val="00DD3118"/>
    <w:rsid w:val="00E13FF4"/>
    <w:rsid w:val="00E23391"/>
    <w:rsid w:val="00E57996"/>
    <w:rsid w:val="00E61F9F"/>
    <w:rsid w:val="00E9680E"/>
    <w:rsid w:val="00EC5681"/>
    <w:rsid w:val="00F708E2"/>
    <w:rsid w:val="00FA1B89"/>
    <w:rsid w:val="00FF03B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8C50"/>
  <w15:docId w15:val="{003FAAA8-E0DC-4ED5-97F0-272B16D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02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D50302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5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0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0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503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5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02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D503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302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0302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17</cp:revision>
  <cp:lastPrinted>2025-02-05T14:16:00Z</cp:lastPrinted>
  <dcterms:created xsi:type="dcterms:W3CDTF">2024-05-14T08:18:00Z</dcterms:created>
  <dcterms:modified xsi:type="dcterms:W3CDTF">2025-02-05T14:21:00Z</dcterms:modified>
</cp:coreProperties>
</file>