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15AE" w14:textId="6BAC2155" w:rsidR="00CF46E9" w:rsidRPr="00BB1202" w:rsidRDefault="00CF46E9" w:rsidP="00BF0CB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1B897DD" w14:textId="77777777" w:rsidR="00EB35AA" w:rsidRPr="00BB1202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141E3277" w14:textId="77777777" w:rsidR="002F6619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SHPALLJE PËR LËVIZJE PARALELE </w:t>
      </w:r>
    </w:p>
    <w:p w14:paraId="154B082D" w14:textId="77777777" w:rsidR="00E00F9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PRANIM NË SHËRBIMIN CIVIL </w:t>
      </w:r>
    </w:p>
    <w:p w14:paraId="685B6011" w14:textId="7A8550C1" w:rsidR="00EB35AA" w:rsidRPr="00BB1202" w:rsidRDefault="00EB35AA" w:rsidP="00E00F9B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EKZEKUTIVE</w:t>
      </w:r>
    </w:p>
    <w:p w14:paraId="78CDC461" w14:textId="77777777" w:rsidR="002727F0" w:rsidRPr="00BB1202" w:rsidRDefault="002727F0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3402597A" w14:textId="26186C51" w:rsidR="00BF0CB8" w:rsidRPr="00BB1202" w:rsidRDefault="005A0E73" w:rsidP="001829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 w:rsidR="00BF0CB8" w:rsidRPr="00BB1202">
        <w:rPr>
          <w:rFonts w:ascii="Times New Roman" w:hAnsi="Times New Roman"/>
          <w:b/>
          <w:bCs/>
          <w:sz w:val="24"/>
          <w:szCs w:val="24"/>
          <w:lang w:val="sq-AL"/>
        </w:rPr>
        <w:t xml:space="preserve"> (</w:t>
      </w:r>
      <w:r w:rsidRPr="00BB1202">
        <w:rPr>
          <w:rFonts w:ascii="Times New Roman" w:hAnsi="Times New Roman"/>
          <w:b/>
          <w:bCs/>
          <w:sz w:val="24"/>
          <w:szCs w:val="24"/>
          <w:lang w:val="sq-AL"/>
        </w:rPr>
        <w:t>një</w:t>
      </w:r>
      <w:r w:rsidR="00BF0CB8" w:rsidRPr="00BB1202">
        <w:rPr>
          <w:rFonts w:ascii="Times New Roman" w:hAnsi="Times New Roman"/>
          <w:b/>
          <w:bCs/>
          <w:sz w:val="24"/>
          <w:szCs w:val="24"/>
          <w:lang w:val="sq-AL"/>
        </w:rPr>
        <w:t>) Specialist (Arkiv/Protokoll) në Sektorin e Arkiv Protokollit, në Drejtorinë Ekonomike dhe Shërbimeve Mbështetëse, pranë Zyrës së Inspektorit të Lartë të Drejtësisë.</w:t>
      </w:r>
    </w:p>
    <w:p w14:paraId="10CB2C6B" w14:textId="4D1F6712" w:rsidR="00BF0CB8" w:rsidRPr="00BB1202" w:rsidRDefault="00BF0CB8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7492C28" w14:textId="627EAD52" w:rsidR="006C160C" w:rsidRPr="00BB1202" w:rsidRDefault="002727F0" w:rsidP="001829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 “Për nëpunësin civil”, i ndryshuar, si dhe të Kreut II, III, IV dhe VII, të VKM nr.</w:t>
      </w:r>
      <w:r w:rsidR="002F661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243, datë 18.3.2015 “Për pranimin, lëvizjen paralele, periudhën e provës dhe emërimin në kategorinë ekzekutive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”</w:t>
      </w:r>
      <w:r w:rsidRPr="00BB1202">
        <w:rPr>
          <w:rFonts w:ascii="Times New Roman" w:hAnsi="Times New Roman"/>
          <w:sz w:val="24"/>
          <w:szCs w:val="24"/>
          <w:lang w:val="sq-AL"/>
        </w:rPr>
        <w:t>, i ndryshuar, Zyra e Inspektorit të Lartë të Drejtësisë shpall procedur</w:t>
      </w:r>
      <w:r w:rsidR="002F6619">
        <w:rPr>
          <w:rFonts w:ascii="Times New Roman" w:hAnsi="Times New Roman"/>
          <w:sz w:val="24"/>
          <w:szCs w:val="24"/>
          <w:lang w:val="sq-AL"/>
        </w:rPr>
        <w:t>ën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e lëvizjes paralele dhe pranimit në shërbimin civil për pozicion</w:t>
      </w:r>
      <w:r w:rsidR="002F6619">
        <w:rPr>
          <w:rFonts w:ascii="Times New Roman" w:hAnsi="Times New Roman"/>
          <w:sz w:val="24"/>
          <w:szCs w:val="24"/>
          <w:lang w:val="sq-AL"/>
        </w:rPr>
        <w:t>in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0B5169FB" w14:textId="77777777" w:rsidR="00AB3D66" w:rsidRPr="00BB1202" w:rsidRDefault="00AB3D66" w:rsidP="001829CF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05904F71" w14:textId="172BF9F8" w:rsidR="002727F0" w:rsidRDefault="005A0E73" w:rsidP="004E303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F72F8"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(</w:t>
      </w:r>
      <w:r w:rsidRPr="000F72F8">
        <w:rPr>
          <w:rFonts w:ascii="Times New Roman" w:hAnsi="Times New Roman"/>
          <w:b/>
          <w:bCs/>
          <w:sz w:val="24"/>
          <w:szCs w:val="24"/>
          <w:lang w:val="sq-AL"/>
        </w:rPr>
        <w:t>një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) </w:t>
      </w:r>
      <w:r w:rsidR="00F071ED" w:rsidRPr="000F72F8">
        <w:rPr>
          <w:rFonts w:ascii="Times New Roman" w:hAnsi="Times New Roman"/>
          <w:b/>
          <w:bCs/>
          <w:sz w:val="24"/>
          <w:szCs w:val="24"/>
          <w:lang w:val="sq-AL"/>
        </w:rPr>
        <w:t>Specialist</w:t>
      </w:r>
      <w:r w:rsidR="00BF0CB8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(Arkiv/Protokoll)</w:t>
      </w:r>
      <w:r w:rsidR="00F071ED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në Sektorin e Arkiv Protokollit, në Drejtorinë Ekonomike dhe Shërbimeve Mbështetëse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>, pranë Zyrës së Inspektorit të Lartë të Drejtësisë</w:t>
      </w:r>
      <w:r w:rsidR="00057A29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0F72F8">
        <w:rPr>
          <w:rFonts w:ascii="Times New Roman" w:hAnsi="Times New Roman"/>
          <w:b/>
          <w:bCs/>
          <w:sz w:val="24"/>
          <w:szCs w:val="24"/>
          <w:lang w:val="sq-AL"/>
        </w:rPr>
        <w:t>–</w:t>
      </w:r>
      <w:r w:rsidR="00816DA2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0F72F8">
        <w:rPr>
          <w:rFonts w:ascii="Times New Roman" w:hAnsi="Times New Roman"/>
          <w:b/>
          <w:bCs/>
          <w:sz w:val="24"/>
          <w:szCs w:val="24"/>
          <w:lang w:val="sq-AL"/>
        </w:rPr>
        <w:t>Klasa IV – 1</w:t>
      </w:r>
    </w:p>
    <w:p w14:paraId="0695D32F" w14:textId="77777777" w:rsidR="000F72F8" w:rsidRPr="000F72F8" w:rsidRDefault="000F72F8" w:rsidP="000F72F8">
      <w:pPr>
        <w:pStyle w:val="ListParagraph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BB1202" w14:paraId="2FE749E8" w14:textId="77777777" w:rsidTr="00BF0CB8">
        <w:trPr>
          <w:trHeight w:val="138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09FB5A8E" w:rsidR="002727F0" w:rsidRPr="00BB1202" w:rsidRDefault="005A0E73" w:rsidP="001829C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Pozicioni më sipër, u ofrohet fillimisht nëpunësve civilë të së njëjtës kategori për procedurën e lëvizjes paralele! Vetëm në rast se pozicioni, në përfundim të procedurës së lëvizjes paralele, rezulton vakant, ai është i vlefshëm për konkurrimin nëpërmjet procedurës së pranimit në shërbimin civil për kategorinë ekzekutive.</w:t>
            </w:r>
          </w:p>
        </w:tc>
      </w:tr>
    </w:tbl>
    <w:p w14:paraId="570B0FDD" w14:textId="77777777" w:rsidR="002727F0" w:rsidRPr="00BB1202" w:rsidRDefault="002727F0" w:rsidP="001829CF">
      <w:pPr>
        <w:ind w:right="73"/>
        <w:rPr>
          <w:rFonts w:ascii="Times New Roman" w:eastAsia="Times New Roman" w:hAnsi="Times New Roman"/>
          <w:b/>
          <w:sz w:val="12"/>
          <w:szCs w:val="12"/>
          <w:lang w:val="sq-AL"/>
        </w:rPr>
      </w:pPr>
    </w:p>
    <w:p w14:paraId="5E6C6F2B" w14:textId="77777777" w:rsidR="002727F0" w:rsidRPr="00BB1202" w:rsidRDefault="002727F0" w:rsidP="001829CF">
      <w:pPr>
        <w:ind w:right="73"/>
        <w:jc w:val="center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D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Y P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RO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EDUR</w:t>
      </w:r>
      <w:r w:rsidRPr="00BB1202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(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LËV</w:t>
      </w:r>
      <w:r w:rsidRPr="00BB1202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Z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AR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LELE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,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M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SH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B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IM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IN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V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IL)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4"/>
          <w:sz w:val="24"/>
          <w:szCs w:val="24"/>
          <w:lang w:val="sq-AL"/>
        </w:rPr>
        <w:t>L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KO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HET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NË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T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Ë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K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OHË!</w:t>
      </w:r>
    </w:p>
    <w:p w14:paraId="00F1B551" w14:textId="3353D1D4" w:rsidR="002727F0" w:rsidRPr="00BB1202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Afati për dorëzimin e </w:t>
      </w:r>
      <w:r w:rsidR="005A0E73"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dokumenteve</w:t>
      </w:r>
      <w:r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 për:</w:t>
      </w:r>
      <w:r w:rsidRPr="00BB120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  <w:r w:rsidR="00D43C1D" w:rsidRPr="00BB120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9"/>
        <w:gridCol w:w="3731"/>
      </w:tblGrid>
      <w:tr w:rsidR="002727F0" w:rsidRPr="00BB1202" w14:paraId="01894FFD" w14:textId="77777777" w:rsidTr="009E7AC6">
        <w:trPr>
          <w:trHeight w:val="828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1C73C07E" w:rsidR="002727F0" w:rsidRPr="00BB1202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</w:t>
            </w:r>
            <w:r w:rsidR="002727F0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F6619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="002727F0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për:</w:t>
            </w:r>
          </w:p>
          <w:p w14:paraId="2FDF1D37" w14:textId="6A5A87DD" w:rsidR="002727F0" w:rsidRPr="00BB1202" w:rsidRDefault="00816DA2" w:rsidP="00816DA2">
            <w:pPr>
              <w:rPr>
                <w:rFonts w:ascii="Times New Roman" w:hAnsi="Times New Roman"/>
                <w:b/>
                <w:color w:val="FF0000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</w:t>
            </w:r>
            <w:r w:rsidR="00BF0CB8"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</w:t>
            </w:r>
            <w:r w:rsidR="002727F0" w:rsidRPr="00BB1202">
              <w:rPr>
                <w:rFonts w:ascii="Times New Roman" w:hAnsi="Times New Roman"/>
                <w:b/>
                <w:color w:val="FF0000"/>
                <w:lang w:val="sq-AL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5B1EA974" w:rsidR="002727F0" w:rsidRPr="00BB1202" w:rsidRDefault="00BF0CB8" w:rsidP="009E7AC6">
            <w:pPr>
              <w:tabs>
                <w:tab w:val="left" w:pos="1216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</w:t>
            </w:r>
            <w:r w:rsidR="00963A87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26.01.2025</w:t>
            </w:r>
          </w:p>
        </w:tc>
      </w:tr>
    </w:tbl>
    <w:p w14:paraId="0BCE3FE8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9"/>
        <w:gridCol w:w="3731"/>
      </w:tblGrid>
      <w:tr w:rsidR="00816DA2" w:rsidRPr="00BB1202" w14:paraId="1237FBF5" w14:textId="77777777" w:rsidTr="009E7AC6">
        <w:trPr>
          <w:trHeight w:val="911"/>
        </w:trPr>
        <w:tc>
          <w:tcPr>
            <w:tcW w:w="5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066C5B8" w14:textId="30DC4F19" w:rsidR="00BF0CB8" w:rsidRPr="00BB1202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</w:t>
            </w:r>
            <w:r w:rsidR="00816DA2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F6619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="00816DA2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</w:t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29349033" w14:textId="33D03576" w:rsidR="00816DA2" w:rsidRPr="00BB1202" w:rsidRDefault="00BF0CB8" w:rsidP="009E1CB6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  </w:t>
            </w:r>
            <w:r w:rsidR="00816DA2" w:rsidRPr="00BB1202">
              <w:rPr>
                <w:rFonts w:ascii="Times New Roman" w:hAnsi="Times New Roman"/>
                <w:b/>
                <w:color w:val="FF0000"/>
                <w:lang w:val="sq-AL"/>
              </w:rPr>
              <w:t>PRANIM NË SHËRBIM CIVIL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CBCE8" w14:textId="34E77A29" w:rsidR="00816DA2" w:rsidRPr="00BB1202" w:rsidRDefault="00963A87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                   30.01.2025</w:t>
            </w:r>
          </w:p>
        </w:tc>
      </w:tr>
    </w:tbl>
    <w:p w14:paraId="0DC3DF93" w14:textId="77777777" w:rsidR="002727F0" w:rsidRPr="00BB1202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BB1202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BB120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sq-AL"/>
              </w:rPr>
              <w:lastRenderedPageBreak/>
              <w:br w:type="page"/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Përshkrimi përgjithësues i punës për pozicionet është:</w:t>
            </w:r>
          </w:p>
        </w:tc>
      </w:tr>
    </w:tbl>
    <w:p w14:paraId="0221F29C" w14:textId="77777777" w:rsidR="002727F0" w:rsidRPr="00BB1202" w:rsidRDefault="002727F0" w:rsidP="00816DA2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F0D076" w14:textId="77777777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Regjistron korrespondencën e institucionit dhe çdo dokumentacion tjetër zyrtar në institucion;</w:t>
      </w:r>
    </w:p>
    <w:p w14:paraId="047A22FA" w14:textId="729C8542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Analizon </w:t>
      </w:r>
      <w:r w:rsidR="000320D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për të përcaktuar afatet e mbajtjes sipas akteve ligjore dhe nënligjore përkatëse;</w:t>
      </w:r>
    </w:p>
    <w:p w14:paraId="5C9C77B5" w14:textId="1E5D76F1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Indekson </w:t>
      </w:r>
      <w:r w:rsidR="000320D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dhe përditëson inventarët;</w:t>
      </w:r>
    </w:p>
    <w:p w14:paraId="79A93F01" w14:textId="2093C013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Kërkon dhe nxjerr </w:t>
      </w:r>
      <w:r w:rsidR="000320DB" w:rsidRPr="00BB1202">
        <w:rPr>
          <w:rFonts w:ascii="Times New Roman" w:hAnsi="Times New Roman"/>
          <w:sz w:val="24"/>
          <w:szCs w:val="24"/>
          <w:lang w:val="sq-AL"/>
        </w:rPr>
        <w:t>dokumente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sipas kërkesave;</w:t>
      </w:r>
    </w:p>
    <w:p w14:paraId="6CE30AE9" w14:textId="77777777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Menaxhon marrëdhëniet midis përdoruesve dhe shpërndan informacionin mbi përdorimin 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arkivës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5D268F18" w14:textId="57EFE654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Administron vulën zyrtare të institucionit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.</w:t>
      </w:r>
    </w:p>
    <w:p w14:paraId="02AF1703" w14:textId="77777777" w:rsidR="00043913" w:rsidRPr="00BB1202" w:rsidRDefault="00043913" w:rsidP="001829C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4E94370" w14:textId="77777777" w:rsidR="002727F0" w:rsidRPr="00BB1202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C00000"/>
          <w:sz w:val="24"/>
          <w:szCs w:val="24"/>
          <w:lang w:val="sq-AL"/>
        </w:rPr>
        <w:t>1-Lëvizja paralele</w:t>
      </w:r>
    </w:p>
    <w:p w14:paraId="03CCDDBB" w14:textId="00B51294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inst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>it</w:t>
      </w:r>
      <w:r w:rsidRPr="00BB1202">
        <w:rPr>
          <w:rFonts w:ascii="Times New Roman" w:hAnsi="Times New Roman"/>
          <w:sz w:val="24"/>
          <w:szCs w:val="24"/>
          <w:lang w:val="sq-AL"/>
        </w:rPr>
        <w:t>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BB1202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14:paraId="34593904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DED24B2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kushtet për lëvizjen paralele si vijon:</w:t>
      </w:r>
    </w:p>
    <w:p w14:paraId="6DA59D20" w14:textId="7B9D7AE5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jenë nëpunës civil të konfirmuar, br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nda së njëjtës kategori (ekzekutive); </w:t>
      </w:r>
    </w:p>
    <w:p w14:paraId="0589B403" w14:textId="29640AF2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mos kenë masë disiplinore në fuqi (vërtetuar me dokument nga institucioni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)</w:t>
      </w:r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ECB9369" w14:textId="04C5B009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të paktën një vlerësim 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fundit “mirë” apo “shumë mirë”. </w:t>
      </w:r>
    </w:p>
    <w:p w14:paraId="32E2DF17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vijon:</w:t>
      </w:r>
    </w:p>
    <w:p w14:paraId="027A2612" w14:textId="7E04A500" w:rsidR="00093E2B" w:rsidRPr="00BB1202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</w:t>
      </w:r>
      <w:r w:rsidR="00DD008A" w:rsidRPr="00BB1202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Arsimi i Lartë </w:t>
      </w:r>
      <w:r w:rsidRPr="00BB1202">
        <w:rPr>
          <w:rFonts w:ascii="Times New Roman" w:hAnsi="Times New Roman"/>
          <w:sz w:val="24"/>
          <w:szCs w:val="24"/>
          <w:lang w:val="sq-AL"/>
        </w:rPr>
        <w:t>(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31331CE" w14:textId="0C8C162F" w:rsidR="00093E2B" w:rsidRPr="00BB1202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</w:t>
      </w:r>
      <w:r w:rsidRPr="00BB1202">
        <w:rPr>
          <w:rFonts w:ascii="Times New Roman" w:hAnsi="Times New Roman"/>
          <w:sz w:val="24"/>
          <w:szCs w:val="24"/>
          <w:lang w:val="sq-AL"/>
        </w:rPr>
        <w:t>përvojë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</w:t>
      </w:r>
      <w:r w:rsidR="00B60DBA"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fushën e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arki</w:t>
      </w:r>
      <w:r w:rsidR="00FA5733" w:rsidRPr="00BB1202">
        <w:rPr>
          <w:rFonts w:ascii="Times New Roman" w:hAnsi="Times New Roman"/>
          <w:color w:val="000000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-protokoll</w:t>
      </w:r>
      <w:r w:rsidR="00B60DBA" w:rsidRPr="00BB1202">
        <w:rPr>
          <w:rFonts w:ascii="Times New Roman" w:hAnsi="Times New Roman"/>
          <w:sz w:val="24"/>
          <w:szCs w:val="24"/>
          <w:lang w:val="sq-AL"/>
        </w:rPr>
        <w:t>it;</w:t>
      </w:r>
    </w:p>
    <w:p w14:paraId="1D98D70C" w14:textId="3404E3FC" w:rsidR="00B60DBA" w:rsidRPr="00BB1202" w:rsidRDefault="00093E2B" w:rsidP="00816DA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r w:rsidR="005A0E73" w:rsidRPr="00BB1202">
        <w:rPr>
          <w:rFonts w:ascii="Times New Roman" w:hAnsi="Times New Roman"/>
          <w:sz w:val="24"/>
          <w:szCs w:val="24"/>
          <w:lang w:val="sq-AL"/>
        </w:rPr>
        <w:t>frëngjisht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015D2E36" w14:textId="77777777" w:rsidR="00816DA2" w:rsidRPr="00BB1202" w:rsidRDefault="00816DA2" w:rsidP="00816DA2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DORËZIMIT.</w:t>
            </w:r>
          </w:p>
        </w:tc>
      </w:tr>
    </w:tbl>
    <w:p w14:paraId="731255A6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6CA9FB" w14:textId="3951EB33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dokumentet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 më poshtë:</w:t>
      </w:r>
    </w:p>
    <w:p w14:paraId="60C1D294" w14:textId="396374E5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konkurruar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06B87427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tëshk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im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i 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z w:val="24"/>
          <w:szCs w:val="24"/>
          <w:lang w:val="sq-AL"/>
        </w:rPr>
        <w:t>otësu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në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rputhje me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BB1202">
        <w:rPr>
          <w:rFonts w:ascii="Times New Roman" w:hAnsi="Times New Roman"/>
          <w:sz w:val="24"/>
          <w:szCs w:val="24"/>
          <w:lang w:val="sq-AL"/>
        </w:rPr>
        <w:t>o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Eu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op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:</w:t>
      </w:r>
    </w:p>
    <w:p w14:paraId="6D4C9D5C" w14:textId="77777777" w:rsidR="002727F0" w:rsidRPr="00BB1202" w:rsidRDefault="002727F0" w:rsidP="001829C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7" w:history="1">
        <w:r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http://www.dap.gov.al/legjislacioni/udhezime-manuale/60-jeteshkrimi-standard</w:t>
        </w:r>
      </w:hyperlink>
      <w:r w:rsidRPr="00BB1202">
        <w:rPr>
          <w:rFonts w:ascii="Times New Roman" w:hAnsi="Times New Roman"/>
          <w:lang w:val="sq-AL"/>
        </w:rPr>
        <w:t xml:space="preserve"> </w:t>
      </w:r>
    </w:p>
    <w:p w14:paraId="2F3DBE2C" w14:textId="499E9044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Fotokopje të diplomës (përfshirë edhe diplomën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</w:t>
      </w:r>
      <w:r w:rsidR="0026698B"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)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;</w:t>
      </w:r>
    </w:p>
    <w:p w14:paraId="6EB55940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3E2DE017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00FAA54E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2AA457BC" w14:textId="79552922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të gj</w:t>
      </w:r>
      <w:r w:rsidR="006C160C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ndjes shëndetësore</w:t>
      </w:r>
      <w:r w:rsidR="00181298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(vlefshmëria 3 muaj);</w:t>
      </w:r>
    </w:p>
    <w:p w14:paraId="7DC69C30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të gjendjes gjyqësore</w:t>
      </w:r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0C35E10" w14:textId="7C5F3678" w:rsidR="000C7966" w:rsidRPr="00BB1202" w:rsidRDefault="002727F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8" w:history="1">
        <w:r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376ED7C2" w14:textId="00D39553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Vlerësimin e fundit nga eprori </w:t>
      </w:r>
      <w:r w:rsidR="000403CF" w:rsidRPr="00BB1202">
        <w:rPr>
          <w:rFonts w:ascii="Times New Roman" w:hAnsi="Times New Roman"/>
          <w:sz w:val="24"/>
          <w:szCs w:val="24"/>
          <w:lang w:val="sq-AL"/>
        </w:rPr>
        <w:t xml:space="preserve">direkt </w:t>
      </w:r>
      <w:bookmarkStart w:id="0" w:name="_Hlk149830553"/>
      <w:r w:rsidR="000403CF" w:rsidRPr="00BB1202">
        <w:rPr>
          <w:rFonts w:ascii="Times New Roman" w:hAnsi="Times New Roman"/>
          <w:sz w:val="24"/>
          <w:szCs w:val="24"/>
          <w:lang w:val="sq-AL"/>
        </w:rPr>
        <w:t>(</w:t>
      </w:r>
      <w:r w:rsidR="00BB1202" w:rsidRPr="00BB1202">
        <w:rPr>
          <w:rFonts w:ascii="Times New Roman" w:hAnsi="Times New Roman"/>
          <w:sz w:val="24"/>
          <w:szCs w:val="24"/>
          <w:lang w:val="sq-AL"/>
        </w:rPr>
        <w:t xml:space="preserve">për kandidatët në marrëdhënie pune 6 mujori i </w:t>
      </w:r>
      <w:r w:rsidR="00963A87">
        <w:rPr>
          <w:rFonts w:ascii="Times New Roman" w:hAnsi="Times New Roman"/>
          <w:sz w:val="24"/>
          <w:szCs w:val="24"/>
          <w:lang w:val="sq-AL"/>
        </w:rPr>
        <w:t>dytë</w:t>
      </w:r>
      <w:r w:rsidR="00BB1202" w:rsidRPr="00BB1202">
        <w:rPr>
          <w:rFonts w:ascii="Times New Roman" w:hAnsi="Times New Roman"/>
          <w:sz w:val="24"/>
          <w:szCs w:val="24"/>
          <w:lang w:val="sq-AL"/>
        </w:rPr>
        <w:t xml:space="preserve"> i vitit </w:t>
      </w:r>
      <w:r w:rsidR="000F72F8">
        <w:rPr>
          <w:rFonts w:ascii="Times New Roman" w:hAnsi="Times New Roman"/>
          <w:sz w:val="24"/>
          <w:szCs w:val="24"/>
          <w:lang w:val="sq-AL"/>
        </w:rPr>
        <w:t>2024</w:t>
      </w:r>
      <w:r w:rsidRPr="00BB1202">
        <w:rPr>
          <w:rFonts w:ascii="Times New Roman" w:hAnsi="Times New Roman"/>
          <w:sz w:val="24"/>
          <w:szCs w:val="24"/>
          <w:lang w:val="sq-AL"/>
        </w:rPr>
        <w:t>);</w:t>
      </w:r>
    </w:p>
    <w:bookmarkEnd w:id="0"/>
    <w:p w14:paraId="3257FA0E" w14:textId="2AAF306E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institucioni q</w:t>
      </w:r>
      <w:r w:rsidR="006D097E" w:rsidRPr="00BB1202">
        <w:rPr>
          <w:rFonts w:ascii="Times New Roman" w:hAnsi="Times New Roman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nuk ka masë </w:t>
      </w:r>
      <w:r w:rsidR="005A0E73" w:rsidRPr="00BB1202">
        <w:rPr>
          <w:rFonts w:ascii="Times New Roman" w:hAnsi="Times New Roman"/>
          <w:sz w:val="24"/>
          <w:szCs w:val="24"/>
          <w:lang w:val="sq-AL"/>
        </w:rPr>
        <w:t>disiplinore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fuqi</w:t>
      </w:r>
      <w:r w:rsid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7420B6FC" w14:textId="63116495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2618E1D3" w14:textId="0B8F1B1D" w:rsidR="002727F0" w:rsidRPr="00BB1202" w:rsidRDefault="002727F0" w:rsidP="001829C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tha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dokument</w:t>
      </w:r>
      <w:r w:rsidR="00816DA2"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816DA2"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="00780D64"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963A87">
        <w:rPr>
          <w:rFonts w:ascii="Times New Roman" w:hAnsi="Times New Roman"/>
          <w:b/>
          <w:color w:val="FF0000"/>
          <w:sz w:val="24"/>
          <w:szCs w:val="24"/>
          <w:lang w:val="sq-AL"/>
        </w:rPr>
        <w:t>26.01.2025</w:t>
      </w:r>
      <w:r w:rsidR="00AC43E6" w:rsidRPr="00BB1202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239C344B" w14:textId="0E41418D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r w:rsidR="00192EE3" w:rsidRPr="00BB1202">
        <w:rPr>
          <w:rFonts w:ascii="Times New Roman" w:hAnsi="Times New Roman"/>
          <w:b/>
          <w:i/>
          <w:sz w:val="24"/>
          <w:szCs w:val="24"/>
          <w:lang w:val="sq-AL"/>
        </w:rPr>
        <w:t>s’ kualifikim</w:t>
      </w: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3A8EF684" w14:textId="77777777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5F81D426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B49F15" w14:textId="096BA6FE" w:rsidR="002727F0" w:rsidRPr="00BB1202" w:rsidRDefault="00F3453D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963A87">
        <w:rPr>
          <w:rFonts w:ascii="Times New Roman" w:hAnsi="Times New Roman"/>
          <w:b/>
          <w:color w:val="FF0000"/>
          <w:sz w:val="24"/>
          <w:szCs w:val="24"/>
          <w:lang w:val="sq-AL"/>
        </w:rPr>
        <w:t>28.01.2025</w:t>
      </w:r>
      <w:r w:rsidR="002727F0" w:rsidRPr="00BB1202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do të shpallë në portalin “Shërbimi Kombëtar i Punësimit”, në faqen zyrtare të internetit dhe stendat e informimit me publikun të institucionit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,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lëvizjes paralele dhe kriteret e veçanta, si dhe datën, vendin dhe orën e saktë ku do të zhvillohet intervista. </w:t>
      </w:r>
    </w:p>
    <w:p w14:paraId="3647A3F9" w14:textId="2F295DFD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menaxhimit të burimeve njerëzore të institucionit, për shkaqet e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mos kualifikimit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).</w:t>
      </w:r>
    </w:p>
    <w:p w14:paraId="756A5BE6" w14:textId="77777777" w:rsidR="002727F0" w:rsidRPr="00BB1202" w:rsidRDefault="002727F0" w:rsidP="001829CF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ërfundimit të afatit të ankimit.</w:t>
      </w:r>
      <w:r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</w:p>
    <w:p w14:paraId="0C547B99" w14:textId="77777777" w:rsidR="002727F0" w:rsidRPr="00BB1202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INTERVISTA.</w:t>
            </w:r>
          </w:p>
        </w:tc>
      </w:tr>
    </w:tbl>
    <w:p w14:paraId="76203C6A" w14:textId="77777777" w:rsidR="00816DA2" w:rsidRPr="00BB1202" w:rsidRDefault="00816DA2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E2BEC49" w14:textId="610774FF" w:rsidR="002727F0" w:rsidRPr="00BB1202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>Kandidatët do të vlerësohen në lidhje me:</w:t>
      </w:r>
    </w:p>
    <w:p w14:paraId="13DCD1CE" w14:textId="76879E79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BB1202">
        <w:rPr>
          <w:rFonts w:ascii="Times New Roman" w:eastAsia="Arial" w:hAnsi="Times New Roman"/>
          <w:sz w:val="24"/>
          <w:szCs w:val="24"/>
          <w:lang w:val="sq-AL"/>
        </w:rPr>
        <w:t xml:space="preserve"> mbi </w:t>
      </w:r>
      <w:r w:rsidR="00C4721D">
        <w:rPr>
          <w:rFonts w:ascii="Times New Roman" w:eastAsia="Arial" w:hAnsi="Times New Roman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BB1202">
        <w:rPr>
          <w:rFonts w:ascii="Times New Roman" w:hAnsi="Times New Roman"/>
          <w:sz w:val="24"/>
          <w:szCs w:val="24"/>
          <w:lang w:val="sq-AL"/>
        </w:rPr>
        <w:t>jin nr. 115/20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 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n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e q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>it të dr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196988E8" w14:textId="25A68932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9154, datë 06.11.2003, "Për arkivat";</w:t>
      </w:r>
    </w:p>
    <w:p w14:paraId="00B5E12F" w14:textId="2AF55FC3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9887, datë 10.03.2008 “Për mbrojtjen e të dhënave personale”, i ndryshuar;</w:t>
      </w:r>
    </w:p>
    <w:p w14:paraId="5C8C84B1" w14:textId="75A7ADC7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119/2014 “Për të drejtën e informimit”;</w:t>
      </w:r>
    </w:p>
    <w:p w14:paraId="6ABED24D" w14:textId="108F4790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C4721D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816DA2" w:rsidRPr="00BB1202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152/2013 “Për nëpunësin civil”, i ndryshuar;</w:t>
      </w:r>
    </w:p>
    <w:p w14:paraId="3596D41A" w14:textId="23F4C77A" w:rsidR="00093E2B" w:rsidRPr="00BB1202" w:rsidRDefault="00093E2B" w:rsidP="00C4721D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 mbi “Norma Tekniko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-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Profesionale dhe Metodologjike të Shërbimit Arkivor në Republikën e Shqipërisë”;</w:t>
      </w:r>
    </w:p>
    <w:p w14:paraId="0432F352" w14:textId="517999DE" w:rsidR="00093E2B" w:rsidRPr="00BB1202" w:rsidRDefault="00093E2B" w:rsidP="00C4721D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9131, datë 08.09.2003, “Për rregullat e etikës në administratën publike”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.</w:t>
      </w:r>
    </w:p>
    <w:p w14:paraId="08F8E677" w14:textId="77777777" w:rsidR="002727F0" w:rsidRPr="00BB1202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54DDB8C9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06D01C" w14:textId="5F632BB1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Kandidatët do të vlerësohen 20 pikë për përvojën, 10 pikë për trajnimet apo kualifikimet e lidhura me fushën përkatëse, si dhe 10 pikë për 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certifikimin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pozitiv ose për vlerësimet e rezultateve individuale në punë në rastet kur procesi i 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nuk është kryer. Totali i pikëve për këtë vlerësim është 40 pikë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756A9AE2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Kandidatët gjatë intervistës së strukturuar me gojë do të vlerësohen në lidhje me:</w:t>
      </w:r>
    </w:p>
    <w:p w14:paraId="15C4D2B4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AD40DF2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7427CC7C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35DCAD81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Totali i pikëve në përfundim të intervistës së strukturuar me gojë është 60 pikë. </w:t>
      </w:r>
    </w:p>
    <w:p w14:paraId="6DF8FC76" w14:textId="357A5D0C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2, datë 27.03.2015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BB1202">
        <w:rPr>
          <w:rFonts w:ascii="Times New Roman" w:hAnsi="Times New Roman"/>
          <w:lang w:val="sq-AL"/>
        </w:rPr>
        <w:t xml:space="preserve">, </w:t>
      </w:r>
      <w:r w:rsidR="00307B71" w:rsidRPr="00BB1202">
        <w:rPr>
          <w:rFonts w:ascii="Times New Roman" w:hAnsi="Times New Roman"/>
          <w:lang w:val="sq-AL"/>
        </w:rPr>
        <w:t>faq</w:t>
      </w:r>
      <w:r w:rsidR="001829CF" w:rsidRPr="00BB1202">
        <w:rPr>
          <w:rFonts w:ascii="Times New Roman" w:hAnsi="Times New Roman"/>
          <w:lang w:val="sq-AL"/>
        </w:rPr>
        <w:t>j</w:t>
      </w:r>
      <w:r w:rsidR="00307B71" w:rsidRPr="00BB1202">
        <w:rPr>
          <w:rFonts w:ascii="Times New Roman" w:hAnsi="Times New Roman"/>
          <w:lang w:val="sq-AL"/>
        </w:rPr>
        <w:t>a zyrtare</w:t>
      </w:r>
      <w:r w:rsidRPr="00BB1202">
        <w:rPr>
          <w:rFonts w:ascii="Times New Roman" w:hAnsi="Times New Roman"/>
          <w:lang w:val="sq-AL"/>
        </w:rPr>
        <w:t xml:space="preserve"> </w:t>
      </w:r>
      <w:hyperlink r:id="rId9" w:history="1">
        <w:r w:rsidRPr="00BB1202">
          <w:rPr>
            <w:rStyle w:val="Hyperlink"/>
            <w:rFonts w:ascii="Times New Roman" w:hAnsi="Times New Roman"/>
            <w:lang w:val="sq-AL"/>
          </w:rPr>
          <w:t>www.dap.gov.al</w:t>
        </w:r>
      </w:hyperlink>
      <w:r w:rsidR="001829CF" w:rsidRPr="00BB1202">
        <w:rPr>
          <w:rStyle w:val="Hyperlink"/>
          <w:rFonts w:ascii="Times New Roman" w:hAnsi="Times New Roman"/>
          <w:lang w:val="sq-AL"/>
        </w:rPr>
        <w:t>.</w:t>
      </w:r>
    </w:p>
    <w:p w14:paraId="03FA2977" w14:textId="77777777" w:rsidR="002727F0" w:rsidRPr="00BB1202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BB1202">
        <w:rPr>
          <w:rFonts w:ascii="Times New Roman" w:hAnsi="Times New Roman"/>
          <w:lang w:val="sq-AL"/>
        </w:rPr>
        <w:t>Linku</w:t>
      </w:r>
      <w:proofErr w:type="spellEnd"/>
      <w:r w:rsidRPr="00BB1202">
        <w:rPr>
          <w:rFonts w:ascii="Times New Roman" w:hAnsi="Times New Roman"/>
          <w:lang w:val="sq-AL"/>
        </w:rPr>
        <w:t>:</w:t>
      </w:r>
      <w:r w:rsidR="002727F0" w:rsidRPr="00BB1202">
        <w:rPr>
          <w:rFonts w:ascii="Times New Roman" w:hAnsi="Times New Roman"/>
          <w:lang w:val="sq-AL"/>
        </w:rPr>
        <w:t xml:space="preserve"> </w:t>
      </w:r>
      <w:hyperlink r:id="rId10" w:history="1">
        <w:r w:rsidR="002727F0"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BB1202">
        <w:rPr>
          <w:rStyle w:val="Hyperlink"/>
          <w:rFonts w:ascii="Times New Roman" w:hAnsi="Times New Roman"/>
          <w:lang w:val="sq-AL"/>
        </w:rPr>
        <w:t xml:space="preserve"> </w:t>
      </w:r>
      <w:r w:rsidR="002727F0" w:rsidRPr="00BB1202">
        <w:rPr>
          <w:rFonts w:ascii="Times New Roman" w:hAnsi="Times New Roman"/>
          <w:lang w:val="sq-AL"/>
        </w:rPr>
        <w:t xml:space="preserve"> </w:t>
      </w:r>
    </w:p>
    <w:p w14:paraId="2F15719B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BB1202" w:rsidRDefault="002727F0" w:rsidP="001829CF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6B8F08B4" w14:textId="77777777" w:rsidR="002727F0" w:rsidRPr="00BB1202" w:rsidRDefault="002727F0" w:rsidP="001829C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Në përfundim të vlerësimit të 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Inspektorit të Lartë të Drejtësisë, për rezultatet (</w:t>
      </w:r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mail</w:t>
      </w:r>
      <w:proofErr w:type="spellEnd"/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).</w:t>
      </w:r>
    </w:p>
    <w:p w14:paraId="694DD6F3" w14:textId="53DABCC8" w:rsidR="002727F0" w:rsidRPr="00BB1202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eastAsia="Times New Roman" w:hAnsi="Times New Roman"/>
          <w:sz w:val="24"/>
          <w:szCs w:val="24"/>
          <w:lang w:val="sq-AL"/>
        </w:rPr>
        <w:t>Ankesat nga kandidatët do të paraqiten në Komisionin e Brendshëm për Lëvizjen Paralele, brenda 3 ditëve kalendarike nga njoftimi individual dhe ankuesi merr përgjigje brenda 3</w:t>
      </w:r>
      <w:r w:rsidR="001829CF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45241862" w14:textId="4110C459" w:rsidR="00167D79" w:rsidRDefault="002727F0" w:rsidP="001829CF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Në përfundim të procesit të </w:t>
      </w:r>
      <w:proofErr w:type="spellStart"/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ankimimit</w:t>
      </w:r>
      <w:proofErr w:type="spellEnd"/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nga Zyra e Inspektorit të Lartë të Drejtësisë do t</w:t>
      </w:r>
      <w:r w:rsidR="00F3453D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shpallet lista e fituesve me t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paktën 70 pikë (70% të pikëve)</w:t>
      </w:r>
      <w:r w:rsidRPr="00BB1202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,</w:t>
      </w:r>
      <w:r w:rsidR="00F3453D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 Kandidat fitues është ai që renditet i pari ndër kandidatët që kanë marrë të paktën 70 pikë (70% të pikëve)</w:t>
      </w:r>
      <w:r w:rsidRPr="00BB1202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</w:p>
    <w:p w14:paraId="079AD46C" w14:textId="77777777" w:rsidR="00C4721D" w:rsidRPr="00C4721D" w:rsidRDefault="00C4721D" w:rsidP="001829CF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q-AL"/>
        </w:rPr>
      </w:pPr>
    </w:p>
    <w:p w14:paraId="20E4089E" w14:textId="77777777" w:rsidR="00967BC6" w:rsidRPr="00BB1202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BB1202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59D3E2AA" w:rsidR="00F759B3" w:rsidRPr="00BB1202" w:rsidRDefault="002727F0" w:rsidP="001829C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Vetëm në rast se pozicion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renditur në fi</w:t>
            </w:r>
            <w:r w:rsidR="00F3453D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llim të kësaj shpallje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, në përfundim të procedurës së lëvizjes paralele, rezulton vakant, 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është i vlefshëm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për </w:t>
            </w:r>
            <w:r w:rsidR="00AA3478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konkurrimin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nëpërmjet procedurës së pranimit në shërbimin civil për kategorinë ekzekutive. </w:t>
            </w:r>
          </w:p>
          <w:p w14:paraId="672B50AA" w14:textId="191153CF" w:rsidR="002727F0" w:rsidRPr="00BB1202" w:rsidRDefault="00F759B3" w:rsidP="001829C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Këtë informacion do ta merrni në portalin “Shërbimi Kombëtar i Punësimit”, faqen zyrtare të internetit dhe stendat e informimit për publikun të Zyrës së Inspektorit të Lartë të Drejtësisë, duke filluar nga data </w:t>
            </w:r>
            <w:r w:rsidR="00216E8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14</w:t>
            </w:r>
            <w:r w:rsidR="00963A87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.02.2025</w:t>
            </w:r>
            <w:r w:rsidR="000F72F8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57592960" w14:textId="77777777" w:rsidR="00967BC6" w:rsidRPr="00BB1202" w:rsidRDefault="00967BC6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CCB80CD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PLOTËSOJË KANDIDAT</w:t>
            </w:r>
            <w:r w:rsidR="0026698B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Pr="00BB1202" w:rsidRDefault="000403CF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5A9BF895" w:rsidR="002727F0" w:rsidRPr="00BB1202" w:rsidRDefault="002727F0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</w:t>
      </w:r>
      <w:r w:rsidR="0026698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jashtë sistemit të shërbimit civil, që plotësojnë kërkesat e përgjithshme sipas nenit 21, të ligjit 152/2013 “Për nëpunësin civil” i ndryshuar.</w:t>
      </w:r>
    </w:p>
    <w:p w14:paraId="34D06C92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612D8B67" w:rsidR="002727F0" w:rsidRPr="00BB1202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f - Ndaj tij të mos jetë marrë masa disiplinore e largimit nga shërbimi civil, që nuk është shuar sipas ligjit 152/2013 “Për nëpunësin civil”</w:t>
      </w:r>
      <w:r w:rsidR="00AA3478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,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i ndryshuar.</w:t>
      </w:r>
    </w:p>
    <w:p w14:paraId="5FC91EC8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7B08FBF5" w14:textId="77777777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Profesional”, Arsimi i Lartë </w:t>
      </w:r>
      <w:r w:rsidRPr="00BB1202">
        <w:rPr>
          <w:rFonts w:ascii="Times New Roman" w:hAnsi="Times New Roman"/>
          <w:sz w:val="24"/>
          <w:szCs w:val="24"/>
          <w:lang w:val="sq-AL"/>
        </w:rPr>
        <w:t>(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2B6EF80" w14:textId="7E1AD527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="00855084"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kenë </w:t>
      </w:r>
      <w:r w:rsidR="00855084" w:rsidRPr="00BB1202">
        <w:rPr>
          <w:rFonts w:ascii="Times New Roman" w:hAnsi="Times New Roman"/>
          <w:sz w:val="24"/>
          <w:szCs w:val="24"/>
          <w:lang w:val="sq-AL"/>
        </w:rPr>
        <w:t>përvojë</w:t>
      </w:r>
      <w:r w:rsidR="00855084"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 fushën e arkiv-protokoll</w:t>
      </w:r>
      <w:r w:rsidR="00855084" w:rsidRPr="00BB1202">
        <w:rPr>
          <w:rFonts w:ascii="Times New Roman" w:hAnsi="Times New Roman"/>
          <w:sz w:val="24"/>
          <w:szCs w:val="24"/>
          <w:lang w:val="sq-AL"/>
        </w:rPr>
        <w:t>it</w:t>
      </w:r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5F0EC0F6" w14:textId="0C3F9739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frëngjisht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14296B60" w14:textId="77777777" w:rsidR="00CF46E9" w:rsidRPr="00BB1202" w:rsidRDefault="00CF46E9" w:rsidP="001829C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BB1202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14:paraId="551FBFC2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0C5EE7" w14:textId="2B742390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dokumentet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7BA18D32" w14:textId="3551978D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konkurruar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7FB2A9BA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tëshk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im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i 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z w:val="24"/>
          <w:szCs w:val="24"/>
          <w:lang w:val="sq-AL"/>
        </w:rPr>
        <w:t>otësu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në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rputhje me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BB1202">
        <w:rPr>
          <w:rFonts w:ascii="Times New Roman" w:hAnsi="Times New Roman"/>
          <w:sz w:val="24"/>
          <w:szCs w:val="24"/>
          <w:lang w:val="sq-AL"/>
        </w:rPr>
        <w:t>o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Eu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op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4263A70" w14:textId="77777777" w:rsidR="002727F0" w:rsidRPr="00BB1202" w:rsidRDefault="002727F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11" w:history="1">
        <w:r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499C8386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Sportit;</w:t>
      </w:r>
    </w:p>
    <w:p w14:paraId="146E854C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6EFC7160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659655A0" w14:textId="2F7C34E2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të gj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ndjes shëndetësore</w:t>
      </w:r>
      <w:r w:rsidR="00F3453D" w:rsidRPr="00BB1202">
        <w:rPr>
          <w:rFonts w:ascii="Times New Roman" w:hAnsi="Times New Roman"/>
          <w:sz w:val="24"/>
          <w:szCs w:val="24"/>
          <w:lang w:val="sq-AL"/>
        </w:rPr>
        <w:t xml:space="preserve"> (vlefshmëria 3 muaj)</w:t>
      </w:r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42C37CA" w14:textId="1A0BEDFD" w:rsidR="00F759B3" w:rsidRPr="00BB1202" w:rsidRDefault="00AA3478" w:rsidP="001829CF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  <w:lang w:val="sq-AL"/>
        </w:rPr>
      </w:pP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 të gj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e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>ndjes gjyqësore</w:t>
      </w:r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;                                                      </w:t>
      </w:r>
      <w:hyperlink r:id="rId12" w:history="1">
        <w:r w:rsidR="002727F0"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1D8B0CEB" w14:textId="1709D378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gjykata;</w:t>
      </w:r>
    </w:p>
    <w:p w14:paraId="7A7B4831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prokuroria;</w:t>
      </w:r>
    </w:p>
    <w:p w14:paraId="668D822D" w14:textId="1744C18F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5DC7D448" w14:textId="77777777" w:rsidR="002727F0" w:rsidRPr="0047663C" w:rsidRDefault="002727F0" w:rsidP="001829CF">
      <w:pPr>
        <w:pStyle w:val="ListParagraph"/>
        <w:ind w:left="360"/>
        <w:rPr>
          <w:rFonts w:ascii="Times New Roman" w:hAnsi="Times New Roman"/>
          <w:sz w:val="16"/>
          <w:szCs w:val="16"/>
          <w:lang w:val="sq-AL"/>
        </w:rPr>
      </w:pPr>
    </w:p>
    <w:p w14:paraId="5627C97D" w14:textId="3EF94F3D" w:rsidR="002727F0" w:rsidRPr="00BB1202" w:rsidRDefault="00D91DA7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7F77AB" w:rsidRPr="007F7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brenda datës </w:t>
      </w:r>
      <w:r w:rsidR="00963A87">
        <w:rPr>
          <w:rFonts w:ascii="Times New Roman" w:hAnsi="Times New Roman"/>
          <w:b/>
          <w:color w:val="FF0000"/>
          <w:sz w:val="24"/>
          <w:szCs w:val="24"/>
          <w:lang w:val="sq-AL"/>
        </w:rPr>
        <w:t>30.01.2025</w:t>
      </w:r>
      <w:r w:rsidR="002727F0"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4F699980" w14:textId="293003A8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r w:rsidR="00AA3478" w:rsidRPr="00BB1202">
        <w:rPr>
          <w:rFonts w:ascii="Times New Roman" w:hAnsi="Times New Roman"/>
          <w:b/>
          <w:i/>
          <w:sz w:val="24"/>
          <w:szCs w:val="24"/>
          <w:lang w:val="sq-AL"/>
        </w:rPr>
        <w:t>s ’kualifikim</w:t>
      </w: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21329C38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32E82531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E796F4" w14:textId="71DE8B2F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>Në datën</w:t>
      </w:r>
      <w:r w:rsidR="006042CB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3A87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14.02.2025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,</w:t>
      </w:r>
      <w:r w:rsidR="00F759B3" w:rsidRPr="00BB1202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Drejtësisë,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 xml:space="preserve">do të shpallë në portalin “Shërbimi Kombëtar i Punësimit”, në faqen zyrtare të internetit dhe stendat e informimit me publikun të institucionit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dhe kriteret e veçanta, si dhe datën, vendin dhe orën e saktë ku do të zhvillohet testimi me shkrim dhe intervista. </w:t>
      </w:r>
    </w:p>
    <w:p w14:paraId="6596D36C" w14:textId="65167D99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dhe kriteret e veçanta do të njoftohen individualisht nga njësia e menaxhimit të burimeve njerëzore të institucionit për shkaqet e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mos kualifikimit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 xml:space="preserve">nëpërmjet adresës </w:t>
      </w:r>
      <w:r w:rsidR="001829CF" w:rsidRPr="00BB1202">
        <w:rPr>
          <w:rFonts w:ascii="Times New Roman" w:hAnsi="Times New Roman"/>
          <w:sz w:val="24"/>
          <w:szCs w:val="24"/>
          <w:u w:val="single"/>
          <w:lang w:val="sq-AL"/>
        </w:rPr>
        <w:t>së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 xml:space="preserve">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.</w:t>
      </w:r>
    </w:p>
    <w:p w14:paraId="6639CCB2" w14:textId="77777777" w:rsidR="002727F0" w:rsidRPr="00BB1202" w:rsidRDefault="002727F0" w:rsidP="001829CF">
      <w:pPr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</w:pPr>
      <w:r w:rsidRPr="00BB1202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 xml:space="preserve">Ankesat nga kandidatët e pakualifikuar paraqiten në njësinë </w:t>
      </w:r>
      <w:r w:rsidRPr="00BB1202">
        <w:rPr>
          <w:rFonts w:ascii="Times New Roman" w:hAnsi="Times New Roman"/>
          <w:sz w:val="24"/>
          <w:szCs w:val="24"/>
          <w:lang w:val="sq-AL"/>
        </w:rPr>
        <w:t>e menaxhimit të burimeve njerëzore</w:t>
      </w:r>
      <w:r w:rsidRPr="00BB1202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>, brenda 5 ditëve kalendarike nga data e njoftimit individual dhe ankuesi merr përgjigje brenda 5 ditëve kalendarike nga data e përfundimit të afatit të ankimit.</w:t>
      </w:r>
    </w:p>
    <w:p w14:paraId="526EA92C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E738E4" w14:textId="77777777" w:rsidR="002727F0" w:rsidRPr="00BB1202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7B627A6B" w14:textId="75043F55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BB1202">
        <w:rPr>
          <w:rFonts w:ascii="Times New Roman" w:eastAsia="Arial" w:hAnsi="Times New Roman"/>
          <w:sz w:val="24"/>
          <w:szCs w:val="24"/>
          <w:lang w:val="sq-AL"/>
        </w:rPr>
        <w:t xml:space="preserve"> mbi </w:t>
      </w:r>
      <w:r w:rsidR="0047663C">
        <w:rPr>
          <w:rFonts w:ascii="Times New Roman" w:eastAsia="Arial" w:hAnsi="Times New Roman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BB1202">
        <w:rPr>
          <w:rFonts w:ascii="Times New Roman" w:hAnsi="Times New Roman"/>
          <w:sz w:val="24"/>
          <w:szCs w:val="24"/>
          <w:lang w:val="sq-AL"/>
        </w:rPr>
        <w:t>jin nr. 115/20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 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n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e q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>it të dr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0BFF4366" w14:textId="4A2D6D58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9154, datë 06.11.2003, "Për arkivat";</w:t>
      </w:r>
    </w:p>
    <w:p w14:paraId="5AC96284" w14:textId="16ADB43F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9887, datë 10.03.2008 “Për mbrojtjen e të dhënave personale”, i ndryshuar;</w:t>
      </w:r>
    </w:p>
    <w:p w14:paraId="7AD54036" w14:textId="1370CD36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119/2014 “Për të drejtën e informimit”;</w:t>
      </w:r>
    </w:p>
    <w:p w14:paraId="620D44C9" w14:textId="3166EAD1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Njohuritë mbi</w:t>
      </w:r>
      <w:r w:rsidR="0047663C">
        <w:rPr>
          <w:rFonts w:ascii="Times New Roman" w:hAnsi="Times New Roman"/>
          <w:spacing w:val="-3"/>
          <w:sz w:val="24"/>
          <w:szCs w:val="24"/>
          <w:lang w:val="sq-AL"/>
        </w:rPr>
        <w:t xml:space="preserve"> l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igjin nr.152/2013 “Për nëpunësin civil”, i ndryshuar;</w:t>
      </w:r>
    </w:p>
    <w:p w14:paraId="3214C5E3" w14:textId="77777777" w:rsidR="00FA5733" w:rsidRPr="00BB1202" w:rsidRDefault="00FA5733" w:rsidP="0047663C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 mbi “Norma Tekniko-Profesionale dhe Metodologjike të Shërbimit Arkivor në Republikën e Shqipërisë”;</w:t>
      </w:r>
    </w:p>
    <w:p w14:paraId="61F85A66" w14:textId="61D17943" w:rsidR="00FA5733" w:rsidRPr="00BB1202" w:rsidRDefault="00FA5733" w:rsidP="0047663C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9131, datë 08.09.2003, “Për rregullat e etikës në administratën publike”;</w:t>
      </w:r>
    </w:p>
    <w:p w14:paraId="0FB0D918" w14:textId="77777777" w:rsidR="00FA5733" w:rsidRPr="00BB1202" w:rsidRDefault="00FA5733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25EBACF" w14:textId="77777777" w:rsidR="002727F0" w:rsidRPr="00BB1202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14:paraId="7BE31C6D" w14:textId="77777777" w:rsidR="002727F0" w:rsidRPr="00BB1202" w:rsidRDefault="002727F0" w:rsidP="001829C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C68180" w14:textId="77777777" w:rsidR="002727F0" w:rsidRPr="00BB1202" w:rsidRDefault="002727F0" w:rsidP="001829CF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e tyre për karrierën, deri në 25 pikë; </w:t>
      </w:r>
    </w:p>
    <w:p w14:paraId="028215B0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Jetëshkrimin, që konsiston në vlerësimin e arsimimit, të përvojës e të trajnimeve, të lidhura me fushën, deri në 15 pikë; </w:t>
      </w:r>
    </w:p>
    <w:p w14:paraId="5386B4CA" w14:textId="4618F431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për të kaluar në procesin e vlerësimit të jetëshkrimit.</w:t>
      </w:r>
    </w:p>
    <w:p w14:paraId="71D28308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33842216" w:rsidR="002727F0" w:rsidRPr="00BB1202" w:rsidRDefault="002727F0" w:rsidP="001829CF">
      <w:pPr>
        <w:jc w:val="both"/>
        <w:rPr>
          <w:rFonts w:ascii="Times New Roman" w:hAnsi="Times New Roman"/>
          <w:lang w:val="sq-AL"/>
        </w:rPr>
      </w:pPr>
      <w:r w:rsidRPr="00BB1202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 w:rsidRPr="00BB1202">
        <w:rPr>
          <w:rFonts w:ascii="Times New Roman" w:hAnsi="Times New Roman"/>
          <w:lang w:val="sq-AL"/>
        </w:rPr>
        <w:t>ntit të Administratës Publike, faq</w:t>
      </w:r>
      <w:r w:rsidR="0026698B" w:rsidRPr="00BB1202">
        <w:rPr>
          <w:rFonts w:ascii="Times New Roman" w:hAnsi="Times New Roman"/>
          <w:lang w:val="sq-AL"/>
        </w:rPr>
        <w:t>ja</w:t>
      </w:r>
      <w:r w:rsidR="00307B71" w:rsidRPr="00BB1202">
        <w:rPr>
          <w:rFonts w:ascii="Times New Roman" w:hAnsi="Times New Roman"/>
          <w:lang w:val="sq-AL"/>
        </w:rPr>
        <w:t xml:space="preserve"> zyrtare </w:t>
      </w:r>
      <w:hyperlink r:id="rId13" w:history="1">
        <w:r w:rsidRPr="00BB1202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C64989E" w14:textId="77777777" w:rsidR="002727F0" w:rsidRPr="00BB1202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BB1202">
        <w:rPr>
          <w:rFonts w:ascii="Times New Roman" w:hAnsi="Times New Roman"/>
          <w:lang w:val="sq-AL"/>
        </w:rPr>
        <w:t>Linku</w:t>
      </w:r>
      <w:proofErr w:type="spellEnd"/>
      <w:r w:rsidRPr="00BB1202">
        <w:rPr>
          <w:rFonts w:ascii="Times New Roman" w:hAnsi="Times New Roman"/>
          <w:lang w:val="sq-AL"/>
        </w:rPr>
        <w:t>:</w:t>
      </w:r>
      <w:r w:rsidR="002727F0" w:rsidRPr="00BB1202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BB1202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BB1202" w:rsidRDefault="002727F0" w:rsidP="001829CF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549A8B57" w14:textId="72FEDEF4" w:rsidR="002727F0" w:rsidRPr="00BB1202" w:rsidRDefault="002727F0" w:rsidP="001829CF">
      <w:pPr>
        <w:shd w:val="clear" w:color="auto" w:fill="FFFFFF"/>
        <w:spacing w:before="360" w:after="120"/>
        <w:jc w:val="both"/>
        <w:outlineLvl w:val="4"/>
        <w:rPr>
          <w:rFonts w:ascii="Times New Roman" w:eastAsia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gjithë kandidatët pjesëmarrës në këtë procedurë do të njoftohen individualisht në mënyrë elektronike</w:t>
      </w:r>
      <w:r w:rsidR="000C7966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mbi rezultatin </w:t>
      </w:r>
      <w:r w:rsidR="0026698B" w:rsidRPr="00BB1202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BB1202">
        <w:rPr>
          <w:rFonts w:ascii="Times New Roman" w:hAnsi="Times New Roman"/>
          <w:sz w:val="24"/>
          <w:szCs w:val="24"/>
          <w:lang w:val="sq-AL"/>
        </w:rPr>
        <w:t>v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lerësimit të testimit me shkrim, vlerësimit të jetëshkrimit, si dhe për intervistën </w:t>
      </w:r>
      <w:r w:rsidR="0026698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e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strukturuar me gojë.</w:t>
      </w:r>
    </w:p>
    <w:p w14:paraId="47E05C00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sz w:val="24"/>
          <w:szCs w:val="24"/>
          <w:lang w:val="sq-AL"/>
        </w:rPr>
        <w:t>Ankesat nga kandidatët, do të paraqiten në Komitetin e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Përhershëm të Pranimit, brenda </w:t>
      </w:r>
      <w:r w:rsidRPr="00BB1202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njoftimi individual dhe ankuesi merr për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gjigje brenda </w:t>
      </w:r>
      <w:r w:rsidRPr="00BB1202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0F166FCA" w14:textId="51528576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përfundim të afatit të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ankimimit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Zyra e Inspektorit të Lartë të Drejtësisë, do të shpallë fituesin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Kandidatë fitues janë kandidatët që kanë marrë mbi 70 pikë (70% të pikë</w:t>
      </w:r>
      <w:r w:rsidR="001829CF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), duke u renditur nga kandidati me rezultatin më të lartë</w:t>
      </w:r>
      <w:r w:rsidRPr="00BB1202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.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BB1202" w14:paraId="2FBBC143" w14:textId="77777777" w:rsidTr="00AA3478">
        <w:trPr>
          <w:trHeight w:val="2703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16DA6ACE" w:rsidR="002727F0" w:rsidRPr="00BB1202" w:rsidRDefault="002727F0" w:rsidP="001829CF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gjithë kandidatët që aplikojnë për procedurën e pranimit në shërbimin civil, do të informohen për fazat e mëtejshme të kësaj </w:t>
            </w:r>
            <w:r w:rsidR="0047663C" w:rsidRPr="00BB1202">
              <w:rPr>
                <w:rFonts w:ascii="Times New Roman" w:hAnsi="Times New Roman"/>
                <w:sz w:val="24"/>
                <w:szCs w:val="24"/>
                <w:lang w:val="sq-AL"/>
              </w:rPr>
              <w:t>procedure</w:t>
            </w: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</w:p>
          <w:p w14:paraId="1358320A" w14:textId="77777777" w:rsidR="002727F0" w:rsidRPr="00BB1202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 datën e daljes së rezultateve të verifikimit paraprak, </w:t>
            </w:r>
          </w:p>
          <w:p w14:paraId="398456AA" w14:textId="58F108A2" w:rsidR="002727F0" w:rsidRPr="00BB1202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datën, vendin dhe orën ku do të zhvillohet </w:t>
            </w:r>
            <w:r w:rsidR="0047663C" w:rsidRPr="00BB1202">
              <w:rPr>
                <w:rFonts w:ascii="Times New Roman" w:hAnsi="Times New Roman"/>
                <w:sz w:val="24"/>
                <w:szCs w:val="24"/>
                <w:lang w:val="sq-AL"/>
              </w:rPr>
              <w:t>konkurrimi</w:t>
            </w: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24FD97F8" w14:textId="4EDA7504" w:rsidR="002727F0" w:rsidRPr="00BB1202" w:rsidRDefault="005171BF" w:rsidP="001829CF">
            <w:pPr>
              <w:ind w:left="100" w:right="86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P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info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ac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ion,</w:t>
            </w:r>
            <w:r w:rsidRPr="00BB1202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ndi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d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tët</w:t>
            </w:r>
            <w:r w:rsidRPr="00BB1202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duh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pacing w:val="22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vi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z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ojnë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më</w:t>
            </w:r>
            <w:r w:rsidRPr="00BB1202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>n</w:t>
            </w:r>
            <w:r w:rsidRPr="00BB1202">
              <w:rPr>
                <w:rFonts w:ascii="Times New Roman" w:eastAsia="Times New Roman" w:hAnsi="Times New Roman"/>
                <w:spacing w:val="-5"/>
                <w:sz w:val="24"/>
                <w:szCs w:val="24"/>
                <w:lang w:val="sq-AL"/>
              </w:rPr>
              <w:t>y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20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z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hdu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shme </w:t>
            </w:r>
            <w:r w:rsidR="000C7966"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portalin “Shërbimi Kombëtar i Punësimit”, faqen zyrtare të internetit dhe stendat e informimit me publikun të institucionit,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f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l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luar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n</w:t>
            </w:r>
            <w:r w:rsidRPr="00BB1202">
              <w:rPr>
                <w:rFonts w:ascii="Times New Roman" w:eastAsia="Times New Roman" w:hAnsi="Times New Roman"/>
                <w:spacing w:val="-2"/>
                <w:sz w:val="24"/>
                <w:szCs w:val="24"/>
                <w:lang w:val="sq-AL"/>
              </w:rPr>
              <w:t>g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 w:rsidRPr="00BB1202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 xml:space="preserve"> </w:t>
            </w:r>
            <w:r w:rsidR="00216E81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14</w:t>
            </w:r>
            <w:r w:rsidR="00227DFC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.02.2025</w:t>
            </w:r>
            <w:r w:rsidR="001829CF" w:rsidRPr="00BB1202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.</w:t>
            </w:r>
          </w:p>
        </w:tc>
      </w:tr>
    </w:tbl>
    <w:p w14:paraId="6E523CD2" w14:textId="77777777" w:rsidR="00FE497B" w:rsidRPr="00BB1202" w:rsidRDefault="00FE497B" w:rsidP="001829CF">
      <w:pPr>
        <w:rPr>
          <w:rFonts w:ascii="Times New Roman" w:hAnsi="Times New Roman"/>
          <w:b/>
          <w:lang w:val="sq-AL"/>
        </w:rPr>
      </w:pPr>
    </w:p>
    <w:sectPr w:rsidR="00FE497B" w:rsidRPr="00BB1202" w:rsidSect="007C612A">
      <w:footerReference w:type="default" r:id="rId15"/>
      <w:pgSz w:w="12240" w:h="15840"/>
      <w:pgMar w:top="9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52FB" w14:textId="77777777" w:rsidR="003C120C" w:rsidRDefault="003C120C" w:rsidP="002727F0">
      <w:pPr>
        <w:spacing w:after="0" w:line="240" w:lineRule="auto"/>
      </w:pPr>
      <w:r>
        <w:separator/>
      </w:r>
    </w:p>
  </w:endnote>
  <w:endnote w:type="continuationSeparator" w:id="0">
    <w:p w14:paraId="3493E307" w14:textId="77777777" w:rsidR="003C120C" w:rsidRDefault="003C120C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47954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A8628" w14:textId="23FAA9D0" w:rsidR="00420CC4" w:rsidRPr="00AA3478" w:rsidRDefault="00420CC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AA3478">
          <w:rPr>
            <w:rFonts w:ascii="Times New Roman" w:hAnsi="Times New Roman"/>
            <w:sz w:val="20"/>
            <w:szCs w:val="20"/>
          </w:rPr>
          <w:fldChar w:fldCharType="begin"/>
        </w:r>
        <w:r w:rsidRPr="00AA347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A3478">
          <w:rPr>
            <w:rFonts w:ascii="Times New Roman" w:hAnsi="Times New Roman"/>
            <w:sz w:val="20"/>
            <w:szCs w:val="20"/>
          </w:rPr>
          <w:fldChar w:fldCharType="separate"/>
        </w:r>
        <w:r w:rsidR="007C612A" w:rsidRPr="00AA3478">
          <w:rPr>
            <w:rFonts w:ascii="Times New Roman" w:hAnsi="Times New Roman"/>
            <w:noProof/>
            <w:sz w:val="20"/>
            <w:szCs w:val="20"/>
          </w:rPr>
          <w:t>8</w:t>
        </w:r>
        <w:r w:rsidRPr="00AA3478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B32A" w14:textId="77777777" w:rsidR="003C120C" w:rsidRDefault="003C120C" w:rsidP="002727F0">
      <w:pPr>
        <w:spacing w:after="0" w:line="240" w:lineRule="auto"/>
      </w:pPr>
      <w:r>
        <w:separator/>
      </w:r>
    </w:p>
  </w:footnote>
  <w:footnote w:type="continuationSeparator" w:id="0">
    <w:p w14:paraId="1B00FC8D" w14:textId="77777777" w:rsidR="003C120C" w:rsidRDefault="003C120C" w:rsidP="0027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C17B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1F2"/>
    <w:multiLevelType w:val="hybridMultilevel"/>
    <w:tmpl w:val="072EC5F0"/>
    <w:lvl w:ilvl="0" w:tplc="20607B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91290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4"/>
  </w:num>
  <w:num w:numId="2" w16cid:durableId="729112803">
    <w:abstractNumId w:val="24"/>
  </w:num>
  <w:num w:numId="3" w16cid:durableId="1661497972">
    <w:abstractNumId w:val="21"/>
  </w:num>
  <w:num w:numId="4" w16cid:durableId="1358968212">
    <w:abstractNumId w:val="1"/>
  </w:num>
  <w:num w:numId="5" w16cid:durableId="1843424103">
    <w:abstractNumId w:val="14"/>
  </w:num>
  <w:num w:numId="6" w16cid:durableId="121045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6"/>
  </w:num>
  <w:num w:numId="8" w16cid:durableId="553463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3"/>
  </w:num>
  <w:num w:numId="11" w16cid:durableId="1995178602">
    <w:abstractNumId w:val="9"/>
  </w:num>
  <w:num w:numId="12" w16cid:durableId="2039888102">
    <w:abstractNumId w:val="6"/>
  </w:num>
  <w:num w:numId="13" w16cid:durableId="44719507">
    <w:abstractNumId w:val="15"/>
  </w:num>
  <w:num w:numId="14" w16cid:durableId="728919195">
    <w:abstractNumId w:val="17"/>
  </w:num>
  <w:num w:numId="15" w16cid:durableId="1253666982">
    <w:abstractNumId w:val="19"/>
  </w:num>
  <w:num w:numId="16" w16cid:durableId="1794329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8"/>
  </w:num>
  <w:num w:numId="18" w16cid:durableId="1989288841">
    <w:abstractNumId w:val="10"/>
  </w:num>
  <w:num w:numId="19" w16cid:durableId="777413937">
    <w:abstractNumId w:val="3"/>
  </w:num>
  <w:num w:numId="20" w16cid:durableId="1534224830">
    <w:abstractNumId w:val="11"/>
  </w:num>
  <w:num w:numId="21" w16cid:durableId="101610430">
    <w:abstractNumId w:val="0"/>
  </w:num>
  <w:num w:numId="22" w16cid:durableId="104428118">
    <w:abstractNumId w:val="12"/>
  </w:num>
  <w:num w:numId="23" w16cid:durableId="953101297">
    <w:abstractNumId w:val="2"/>
  </w:num>
  <w:num w:numId="24" w16cid:durableId="1084570146">
    <w:abstractNumId w:val="25"/>
  </w:num>
  <w:num w:numId="25" w16cid:durableId="247154420">
    <w:abstractNumId w:val="13"/>
  </w:num>
  <w:num w:numId="26" w16cid:durableId="2059281079">
    <w:abstractNumId w:val="7"/>
  </w:num>
  <w:num w:numId="27" w16cid:durableId="700865178">
    <w:abstractNumId w:val="4"/>
  </w:num>
  <w:num w:numId="28" w16cid:durableId="1675183874">
    <w:abstractNumId w:val="18"/>
  </w:num>
  <w:num w:numId="29" w16cid:durableId="1665663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02432"/>
    <w:rsid w:val="00011596"/>
    <w:rsid w:val="000320DB"/>
    <w:rsid w:val="000403CF"/>
    <w:rsid w:val="00043913"/>
    <w:rsid w:val="000521DB"/>
    <w:rsid w:val="0005224E"/>
    <w:rsid w:val="00057A29"/>
    <w:rsid w:val="00073CA9"/>
    <w:rsid w:val="00077EB4"/>
    <w:rsid w:val="000801B2"/>
    <w:rsid w:val="00083D70"/>
    <w:rsid w:val="00093E2B"/>
    <w:rsid w:val="000C7966"/>
    <w:rsid w:val="000F72F8"/>
    <w:rsid w:val="00167D79"/>
    <w:rsid w:val="00181298"/>
    <w:rsid w:val="001829CF"/>
    <w:rsid w:val="001854F8"/>
    <w:rsid w:val="00192EE3"/>
    <w:rsid w:val="001C05A5"/>
    <w:rsid w:val="001C6126"/>
    <w:rsid w:val="00216E81"/>
    <w:rsid w:val="0022398E"/>
    <w:rsid w:val="00227DFC"/>
    <w:rsid w:val="00231904"/>
    <w:rsid w:val="002611F9"/>
    <w:rsid w:val="0026698B"/>
    <w:rsid w:val="002727F0"/>
    <w:rsid w:val="00281E62"/>
    <w:rsid w:val="002F4B1F"/>
    <w:rsid w:val="002F6619"/>
    <w:rsid w:val="00307B71"/>
    <w:rsid w:val="00351A68"/>
    <w:rsid w:val="00360496"/>
    <w:rsid w:val="003C120C"/>
    <w:rsid w:val="003D485C"/>
    <w:rsid w:val="00420CC4"/>
    <w:rsid w:val="004271F5"/>
    <w:rsid w:val="0047663C"/>
    <w:rsid w:val="0048174D"/>
    <w:rsid w:val="004A4296"/>
    <w:rsid w:val="004D2C7D"/>
    <w:rsid w:val="004E73BC"/>
    <w:rsid w:val="005171BF"/>
    <w:rsid w:val="005219D6"/>
    <w:rsid w:val="00524C90"/>
    <w:rsid w:val="00547E5B"/>
    <w:rsid w:val="00555B0F"/>
    <w:rsid w:val="0059292D"/>
    <w:rsid w:val="005A0E73"/>
    <w:rsid w:val="005A37FA"/>
    <w:rsid w:val="005B21CC"/>
    <w:rsid w:val="005B2A8A"/>
    <w:rsid w:val="005E3D22"/>
    <w:rsid w:val="005F1636"/>
    <w:rsid w:val="006042CB"/>
    <w:rsid w:val="00630ADE"/>
    <w:rsid w:val="00644B9D"/>
    <w:rsid w:val="00661A90"/>
    <w:rsid w:val="006B3898"/>
    <w:rsid w:val="006B57E3"/>
    <w:rsid w:val="006C160C"/>
    <w:rsid w:val="006D097E"/>
    <w:rsid w:val="006D3CF4"/>
    <w:rsid w:val="006F4CC4"/>
    <w:rsid w:val="006F5E50"/>
    <w:rsid w:val="006F6E58"/>
    <w:rsid w:val="0074445A"/>
    <w:rsid w:val="0075097D"/>
    <w:rsid w:val="007801C9"/>
    <w:rsid w:val="00780D64"/>
    <w:rsid w:val="007A572C"/>
    <w:rsid w:val="007C612A"/>
    <w:rsid w:val="007E3450"/>
    <w:rsid w:val="007F77AB"/>
    <w:rsid w:val="00810104"/>
    <w:rsid w:val="00816DA2"/>
    <w:rsid w:val="00820878"/>
    <w:rsid w:val="008465A1"/>
    <w:rsid w:val="00853ABE"/>
    <w:rsid w:val="00855084"/>
    <w:rsid w:val="008970EC"/>
    <w:rsid w:val="008B14E6"/>
    <w:rsid w:val="008B3006"/>
    <w:rsid w:val="008E2EDE"/>
    <w:rsid w:val="00902DF3"/>
    <w:rsid w:val="00954B7B"/>
    <w:rsid w:val="00963A87"/>
    <w:rsid w:val="00967BC6"/>
    <w:rsid w:val="009D1818"/>
    <w:rsid w:val="009E7AC6"/>
    <w:rsid w:val="00A50D6B"/>
    <w:rsid w:val="00AA3478"/>
    <w:rsid w:val="00AA4F49"/>
    <w:rsid w:val="00AA747D"/>
    <w:rsid w:val="00AB3D66"/>
    <w:rsid w:val="00AC43E6"/>
    <w:rsid w:val="00AE5975"/>
    <w:rsid w:val="00B25D1E"/>
    <w:rsid w:val="00B60DBA"/>
    <w:rsid w:val="00B91C3F"/>
    <w:rsid w:val="00BA1A45"/>
    <w:rsid w:val="00BA2E05"/>
    <w:rsid w:val="00BB1202"/>
    <w:rsid w:val="00BF0CB8"/>
    <w:rsid w:val="00C16605"/>
    <w:rsid w:val="00C409A7"/>
    <w:rsid w:val="00C45BC4"/>
    <w:rsid w:val="00C4721D"/>
    <w:rsid w:val="00C5028B"/>
    <w:rsid w:val="00C63F60"/>
    <w:rsid w:val="00CC6267"/>
    <w:rsid w:val="00CD4938"/>
    <w:rsid w:val="00CF46E9"/>
    <w:rsid w:val="00D12C75"/>
    <w:rsid w:val="00D43C1D"/>
    <w:rsid w:val="00D7457A"/>
    <w:rsid w:val="00D8718B"/>
    <w:rsid w:val="00D90042"/>
    <w:rsid w:val="00D91BC9"/>
    <w:rsid w:val="00D91DA7"/>
    <w:rsid w:val="00DA27CB"/>
    <w:rsid w:val="00DA61A5"/>
    <w:rsid w:val="00DD008A"/>
    <w:rsid w:val="00DF71CD"/>
    <w:rsid w:val="00E00F9B"/>
    <w:rsid w:val="00E57AC0"/>
    <w:rsid w:val="00E75887"/>
    <w:rsid w:val="00EB35AA"/>
    <w:rsid w:val="00EC1BA1"/>
    <w:rsid w:val="00ED004E"/>
    <w:rsid w:val="00EE63FE"/>
    <w:rsid w:val="00EF7100"/>
    <w:rsid w:val="00F071ED"/>
    <w:rsid w:val="00F12A95"/>
    <w:rsid w:val="00F3453D"/>
    <w:rsid w:val="00F41D23"/>
    <w:rsid w:val="00F62016"/>
    <w:rsid w:val="00F759B3"/>
    <w:rsid w:val="00FA5733"/>
    <w:rsid w:val="00FB3726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DA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DA2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Zonje Shelqizi</cp:lastModifiedBy>
  <cp:revision>6</cp:revision>
  <cp:lastPrinted>2025-01-14T12:49:00Z</cp:lastPrinted>
  <dcterms:created xsi:type="dcterms:W3CDTF">2025-01-14T12:34:00Z</dcterms:created>
  <dcterms:modified xsi:type="dcterms:W3CDTF">2025-01-15T14:52:00Z</dcterms:modified>
</cp:coreProperties>
</file>