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1C63918F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733931">
        <w:rPr>
          <w:rFonts w:ascii="Times New Roman" w:hAnsi="Times New Roman"/>
          <w:b/>
          <w:sz w:val="24"/>
          <w:szCs w:val="24"/>
          <w:lang w:val="it-IT"/>
        </w:rPr>
        <w:t>IT DHE I STATISTIKAVE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1B79E8B3" w:rsidR="006B3FDB" w:rsidRDefault="00011BAA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3931">
        <w:rPr>
          <w:rFonts w:ascii="Times New Roman" w:hAnsi="Times New Roman" w:cs="Times New Roman"/>
          <w:b/>
          <w:bCs/>
          <w:sz w:val="24"/>
          <w:szCs w:val="24"/>
          <w:lang w:val="it-IT"/>
        </w:rPr>
        <w:t>IT dhe i Statistikave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1C553F">
        <w:rPr>
          <w:rFonts w:ascii="Times New Roman" w:hAnsi="Times New Roman"/>
          <w:sz w:val="24"/>
          <w:szCs w:val="24"/>
        </w:rPr>
        <w:t>Integrimit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553F">
        <w:rPr>
          <w:rFonts w:ascii="Times New Roman" w:hAnsi="Times New Roman"/>
          <w:sz w:val="24"/>
          <w:szCs w:val="24"/>
        </w:rPr>
        <w:t>Europian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553F">
        <w:rPr>
          <w:rFonts w:ascii="Times New Roman" w:hAnsi="Times New Roman"/>
          <w:sz w:val="24"/>
          <w:szCs w:val="24"/>
        </w:rPr>
        <w:t>dhe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553F">
        <w:rPr>
          <w:rFonts w:ascii="Times New Roman" w:hAnsi="Times New Roman"/>
          <w:sz w:val="24"/>
          <w:szCs w:val="24"/>
        </w:rPr>
        <w:t>Marrëdhenieve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1C553F">
        <w:rPr>
          <w:rFonts w:ascii="Times New Roman" w:hAnsi="Times New Roman"/>
          <w:sz w:val="24"/>
          <w:szCs w:val="24"/>
        </w:rPr>
        <w:t>Publikun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0FD29CF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2F78A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2F78A9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FB5DD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6C77AF9F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2F78A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2F78A9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FB5DD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5B4183A1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73393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IT </w:t>
            </w:r>
            <w:proofErr w:type="spellStart"/>
            <w:r w:rsidR="0073393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dhe</w:t>
            </w:r>
            <w:proofErr w:type="spellEnd"/>
            <w:r w:rsidR="0073393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73393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="0073393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73393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Statistikave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4B60C670" w14:textId="77777777" w:rsidR="00733931" w:rsidRPr="00733931" w:rsidRDefault="00733931" w:rsidP="00733931">
      <w:pPr>
        <w:jc w:val="both"/>
        <w:rPr>
          <w:rFonts w:ascii="Times New Roman" w:eastAsia="Times New Roman" w:hAnsi="Times New Roman"/>
          <w:iCs/>
          <w:sz w:val="24"/>
          <w:szCs w:val="24"/>
          <w:lang w:val="sq-AL"/>
          <w14:ligatures w14:val="standardContextual"/>
        </w:rPr>
      </w:pPr>
      <w:r w:rsidRPr="00733931">
        <w:rPr>
          <w:rFonts w:ascii="Times New Roman" w:eastAsia="Times New Roman" w:hAnsi="Times New Roman"/>
          <w:iCs/>
          <w:sz w:val="24"/>
          <w:szCs w:val="24"/>
          <w:lang w:val="sq-AL"/>
          <w14:ligatures w14:val="standardContextual"/>
        </w:rPr>
        <w:t xml:space="preserve">Specialist IT dhe i Statistikave përgjigjet tek Përgjegjësi i Sektorit dhe ka këto detyra: </w:t>
      </w:r>
    </w:p>
    <w:p w14:paraId="5AA99F70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Përgjigjet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administrimin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mirëmbajtjen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rrjetit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brendshëm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(IT)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Bashki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sistemin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kompjuterik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vendosur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zyrat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Njësive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Administrative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Ndërmarrjet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varësi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. </w:t>
      </w:r>
    </w:p>
    <w:p w14:paraId="385662FB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Përgjigjet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instalimin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programeve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bazë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atyre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profesionalë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kompjuterat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vendosur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Bashki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funksionimin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normal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hardëare-ve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softëare-ve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>.</w:t>
      </w:r>
    </w:p>
    <w:p w14:paraId="6520021C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Pasqyron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faqen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zyrtare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gjitha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aktivitetet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punët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realizuara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nga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Bashkia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njësitë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vartëse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. </w:t>
      </w:r>
    </w:p>
    <w:p w14:paraId="17FDDE97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Siguron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zhvillon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përmirësom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sistemin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sigurisë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serverave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bazave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dhënave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menaxhon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proçeset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back-up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restore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sistemeve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informatike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>.</w:t>
      </w:r>
    </w:p>
    <w:p w14:paraId="01510859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Jep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nivelin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parë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ndihmës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gjitha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pajisjet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elektronike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institucionit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>, (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servera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kompjutera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printera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scanera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sistemi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fonisë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sistemit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telefonisë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sistemi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kartave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hyrëse-dalëse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kamerave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fotokopjeve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UPS); </w:t>
      </w:r>
    </w:p>
    <w:p w14:paraId="1CB9E85F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Menaxhon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proçesin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konfigurimit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instalimit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specializuar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përdoruesit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domain, mail server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sistemet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tjera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elektronike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monitoron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komunikimin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elektronik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përdoruesit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kompjuterëve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cilët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hasin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vështirësi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zgjidhje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2314342B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Përcakton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kërkesat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teknike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sistemet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ngarkim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monitoron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përgatitjen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termave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referencës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informatizimin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mëtejshëm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mbledhjen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organizimin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problemeve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zgjidhjet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përkatëse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dokumentimin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tyre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t’u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përdorur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referencë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nga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sektorët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tjerë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592228AE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Menaxhon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përmirësimin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infrastrukturës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hardëare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siguron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mbështetjen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stafit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zgjidhjen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problemeve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teknike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përdorimin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pajisjeve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konsulencë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udhëzues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përdorimi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manuale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teknike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dokumente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tjerë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kërkime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implementime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zgjidhjesh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; </w:t>
      </w:r>
    </w:p>
    <w:p w14:paraId="0E7F6F3F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Monitoron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menaxhon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punën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ridizenjimin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aplikacioneve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programeve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tjera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</w:p>
    <w:p w14:paraId="49DB7F61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Zbaton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strategjinë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rritjen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performancës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aplikacioneve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nivel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përdoruesi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duke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ruajtur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konfidencialitetin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sistemeve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bazave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dhënave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gjithë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informacioneve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tjera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trajtuara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nga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institucioni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>.</w:t>
      </w:r>
    </w:p>
    <w:p w14:paraId="04B28EA0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733931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 xml:space="preserve">Identifikon të dhënat bazë, si dhe përcakton qëllimet dhe objektivat që duhet të trajtohen në përpilimin e raporteve statistikore; </w:t>
      </w:r>
    </w:p>
    <w:p w14:paraId="51163032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733931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 xml:space="preserve">Menaxhon mbledhjen në mënyrë periodike të të dhënave që paraqesin punën e strukturave përkatëse pjesë e aparatit Bashkisë Roskovec, si dhe institucioneve të varësisë; </w:t>
      </w:r>
    </w:p>
    <w:p w14:paraId="5B43BE1C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733931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Kontrollon dhe jep miratimin për përmbajtjen e raporteve statistikore, nëpërmjet analizave të kryera nga sektorët në varësi; Përgatit materiale të nevojshme statistikore në kuadër të projekteve në të cilat angazhohet drejtoria, si dhe kryerjen e përmbledhjeve të publikimeve më të fundit me karakter informues;</w:t>
      </w:r>
    </w:p>
    <w:p w14:paraId="50E1311B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733931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 xml:space="preserve">Planifikon dhe menaxhon njohjen e teknikave (metodologji, softëare) të reja në fushën e përpunimit e informacionit statistikor; </w:t>
      </w:r>
    </w:p>
    <w:p w14:paraId="6A25B917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733931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 xml:space="preserve">Krijon dhe mban kontakte të vazhdueshme me zyrat analoge, pranë institucioneve të tjera publike (INSTAT, ASIG, Ministri, Institute Shkencore e Kulturore etj.), organizmave të huaja e subjekte private. </w:t>
      </w:r>
    </w:p>
    <w:p w14:paraId="443A90DB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733931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Brenda fushës që mbulon, ndjek detyra që nuk janë parashikuar dhe që i ngarkohen nga eprorët e drejtpërdrejt sipas hierarkisë.</w:t>
      </w:r>
    </w:p>
    <w:p w14:paraId="15D3F1CF" w14:textId="2D748264" w:rsidR="00733931" w:rsidRPr="00733931" w:rsidRDefault="00733931" w:rsidP="00733931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</w:pPr>
      <w:r w:rsidRPr="00733931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lastRenderedPageBreak/>
        <w:t>Raporton për realizimin e detyrave funksionale dhe objektivave vjetore.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3B992526" w:rsidR="00591F25" w:rsidRPr="001D0907" w:rsidRDefault="00212778" w:rsidP="009C69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335EB0">
        <w:rPr>
          <w:rFonts w:ascii="Times New Roman" w:eastAsia="Times New Roman" w:hAnsi="Times New Roman"/>
          <w:sz w:val="24"/>
          <w:szCs w:val="24"/>
          <w:lang w:val="sq-AL"/>
        </w:rPr>
        <w:t>Të zotërojë Diplomë Universitare të nivelit</w:t>
      </w:r>
      <w:r w:rsidR="009C69C5" w:rsidRPr="00335EB0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4F0420" w:rsidRPr="00335EB0">
        <w:rPr>
          <w:rFonts w:ascii="Times New Roman" w:eastAsia="Times New Roman" w:hAnsi="Times New Roman"/>
          <w:sz w:val="24"/>
          <w:szCs w:val="24"/>
          <w:lang w:val="sq-AL"/>
        </w:rPr>
        <w:t>minimal “Bachelor”</w:t>
      </w:r>
      <w:r w:rsidR="009C69C5" w:rsidRPr="00335E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në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Shkencat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Informatike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Kompjuterike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Inxhinieri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Elektronike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Informatikë-Elektronik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Informatikë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Ekonomike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Teknologji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Informacioni</w:t>
      </w:r>
      <w:proofErr w:type="spellEnd"/>
      <w:r w:rsidR="009C69C5" w:rsidRPr="00335EB0">
        <w:rPr>
          <w:rFonts w:ascii="Times New Roman" w:eastAsia="Times New Roman" w:hAnsi="Times New Roman"/>
          <w:sz w:val="28"/>
          <w:szCs w:val="28"/>
          <w:lang w:val="sq-AL"/>
        </w:rPr>
        <w:t>.</w:t>
      </w:r>
      <w:r w:rsidR="009C69C5">
        <w:rPr>
          <w:rFonts w:ascii="Times New Roman" w:eastAsia="Times New Roman" w:hAnsi="Times New Roman"/>
          <w:sz w:val="28"/>
          <w:szCs w:val="28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it-IT" w:eastAsia="ru-RU"/>
        </w:rPr>
        <w:t>(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75C43319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lastRenderedPageBreak/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288EA55F" w14:textId="0BFD6EEC" w:rsidR="008C329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2F78A9">
        <w:rPr>
          <w:rFonts w:ascii="Times New Roman" w:hAnsi="Times New Roman"/>
          <w:b/>
          <w:i/>
          <w:sz w:val="24"/>
          <w:szCs w:val="24"/>
        </w:rPr>
        <w:t>18</w:t>
      </w:r>
      <w:r w:rsidR="00FB5DDF">
        <w:rPr>
          <w:rFonts w:ascii="Times New Roman" w:hAnsi="Times New Roman"/>
          <w:b/>
          <w:i/>
          <w:sz w:val="24"/>
          <w:szCs w:val="24"/>
        </w:rPr>
        <w:t>/</w:t>
      </w:r>
      <w:r w:rsidR="002F78A9">
        <w:rPr>
          <w:rFonts w:ascii="Times New Roman" w:hAnsi="Times New Roman"/>
          <w:b/>
          <w:i/>
          <w:sz w:val="24"/>
          <w:szCs w:val="24"/>
        </w:rPr>
        <w:t>10</w:t>
      </w:r>
      <w:r w:rsidR="00FB5DDF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FB5DDF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22D43D62" w14:textId="77777777" w:rsidR="00BE2483" w:rsidRDefault="00BE2483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20E62BDB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2F78A9">
        <w:rPr>
          <w:rFonts w:ascii="Times New Roman" w:hAnsi="Times New Roman"/>
          <w:b/>
          <w:sz w:val="24"/>
          <w:szCs w:val="24"/>
        </w:rPr>
        <w:t>20</w:t>
      </w:r>
      <w:r w:rsidR="00FB5DDF">
        <w:rPr>
          <w:rFonts w:ascii="Times New Roman" w:hAnsi="Times New Roman"/>
          <w:b/>
          <w:sz w:val="24"/>
          <w:szCs w:val="24"/>
        </w:rPr>
        <w:t>/</w:t>
      </w:r>
      <w:r w:rsidR="002F78A9">
        <w:rPr>
          <w:rFonts w:ascii="Times New Roman" w:hAnsi="Times New Roman"/>
          <w:b/>
          <w:sz w:val="24"/>
          <w:szCs w:val="24"/>
        </w:rPr>
        <w:t>10</w:t>
      </w:r>
      <w:r w:rsidR="00FB5DDF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FB5DDF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0840E921" w14:textId="521FB290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652834"/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6ECBB0A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22D0507E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Nr.152/2013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CACADCB" w14:textId="6E388A5A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77940B2D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7865B1AD" w14:textId="77777777" w:rsidR="009C69C5" w:rsidRPr="009C69C5" w:rsidRDefault="0096180C" w:rsidP="009C69C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Nr.44/2015 “Kodi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bookmarkEnd w:id="0"/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  <w:bookmarkStart w:id="1" w:name="_Hlk161924465"/>
      <w:bookmarkStart w:id="2" w:name="_Hlk161923972"/>
    </w:p>
    <w:p w14:paraId="670CA717" w14:textId="28C3C090" w:rsidR="009C69C5" w:rsidRPr="009C69C5" w:rsidRDefault="009C69C5" w:rsidP="009C69C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Si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çdo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akt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ligjor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nënligjor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në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fushën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e</w:t>
      </w:r>
      <w:bookmarkEnd w:id="1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teknologjisë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së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informacionit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.</w:t>
      </w:r>
    </w:p>
    <w:bookmarkEnd w:id="2"/>
    <w:p w14:paraId="6485409D" w14:textId="77777777" w:rsidR="009C69C5" w:rsidRPr="00847364" w:rsidRDefault="009C69C5" w:rsidP="009C69C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41BADE60" w:rsidR="006C307B" w:rsidRPr="001D0907" w:rsidRDefault="00212778" w:rsidP="009C69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BE2483">
        <w:rPr>
          <w:rFonts w:ascii="Times New Roman" w:eastAsia="Times New Roman" w:hAnsi="Times New Roman"/>
          <w:sz w:val="24"/>
          <w:szCs w:val="24"/>
          <w:lang w:val="sq-AL"/>
        </w:rPr>
        <w:t>Të</w:t>
      </w:r>
      <w:r w:rsidR="009C69C5" w:rsidRPr="00BE2483">
        <w:rPr>
          <w:rFonts w:ascii="Times New Roman" w:eastAsia="Times New Roman" w:hAnsi="Times New Roman"/>
          <w:sz w:val="24"/>
          <w:szCs w:val="24"/>
          <w:lang w:val="sq-AL"/>
        </w:rPr>
        <w:t xml:space="preserve"> zotërojë Diplomë Universitare të nivelit</w:t>
      </w:r>
      <w:r w:rsidR="00687197" w:rsidRPr="00BE2483">
        <w:rPr>
          <w:rFonts w:ascii="Times New Roman" w:eastAsia="Times New Roman" w:hAnsi="Times New Roman"/>
          <w:sz w:val="24"/>
          <w:szCs w:val="24"/>
          <w:lang w:val="sq-AL"/>
        </w:rPr>
        <w:t xml:space="preserve"> minimal</w:t>
      </w:r>
      <w:r w:rsidR="009C69C5" w:rsidRPr="00BE2483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9C69C5" w:rsidRPr="00BE2483">
        <w:rPr>
          <w:rFonts w:ascii="Times New Roman" w:hAnsi="Times New Roman"/>
          <w:sz w:val="24"/>
          <w:szCs w:val="24"/>
        </w:rPr>
        <w:t>"</w:t>
      </w:r>
      <w:r w:rsidR="00687197" w:rsidRPr="00BE2483">
        <w:rPr>
          <w:rFonts w:ascii="Times New Roman" w:hAnsi="Times New Roman"/>
          <w:sz w:val="24"/>
          <w:szCs w:val="24"/>
        </w:rPr>
        <w:t>Bachelor</w:t>
      </w:r>
      <w:r w:rsidR="009C69C5" w:rsidRPr="00BE2483">
        <w:rPr>
          <w:rFonts w:ascii="Times New Roman" w:hAnsi="Times New Roman"/>
          <w:sz w:val="24"/>
          <w:szCs w:val="24"/>
        </w:rPr>
        <w:t xml:space="preserve">", 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në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Shkencat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Informatike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Kompjuterike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Inxhinieri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Elektronike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Informatikë-Elektronik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Informatikë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Ekonomike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Teknologji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Informacioni</w:t>
      </w:r>
      <w:proofErr w:type="spellEnd"/>
      <w:r w:rsidR="009C69C5" w:rsidRPr="00BE2483">
        <w:rPr>
          <w:rFonts w:ascii="Times New Roman" w:eastAsia="Times New Roman" w:hAnsi="Times New Roman"/>
          <w:sz w:val="28"/>
          <w:szCs w:val="28"/>
          <w:lang w:val="sq-AL"/>
        </w:rPr>
        <w:t>.</w:t>
      </w:r>
      <w:r w:rsidR="009C69C5">
        <w:rPr>
          <w:rFonts w:ascii="Times New Roman" w:eastAsia="Times New Roman" w:hAnsi="Times New Roman"/>
          <w:sz w:val="28"/>
          <w:szCs w:val="28"/>
          <w:lang w:val="sq-AL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0B750240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2F78A9">
        <w:rPr>
          <w:rFonts w:ascii="Times New Roman" w:hAnsi="Times New Roman"/>
          <w:b/>
          <w:i/>
          <w:szCs w:val="24"/>
        </w:rPr>
        <w:t>23</w:t>
      </w:r>
      <w:r w:rsidR="00FB5DDF">
        <w:rPr>
          <w:rFonts w:ascii="Times New Roman" w:hAnsi="Times New Roman"/>
          <w:b/>
          <w:i/>
          <w:szCs w:val="24"/>
        </w:rPr>
        <w:t>/</w:t>
      </w:r>
      <w:r w:rsidR="002F78A9">
        <w:rPr>
          <w:rFonts w:ascii="Times New Roman" w:hAnsi="Times New Roman"/>
          <w:b/>
          <w:i/>
          <w:szCs w:val="24"/>
        </w:rPr>
        <w:t>10</w:t>
      </w:r>
      <w:r w:rsidR="00FB5DDF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FB5DDF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44BE1F6F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2F78A9">
        <w:rPr>
          <w:rFonts w:ascii="Times New Roman" w:hAnsi="Times New Roman"/>
          <w:b/>
          <w:sz w:val="24"/>
          <w:szCs w:val="24"/>
        </w:rPr>
        <w:t>01</w:t>
      </w:r>
      <w:r w:rsidR="00FB5DDF">
        <w:rPr>
          <w:rFonts w:ascii="Times New Roman" w:hAnsi="Times New Roman"/>
          <w:b/>
          <w:sz w:val="24"/>
          <w:szCs w:val="24"/>
        </w:rPr>
        <w:t>/</w:t>
      </w:r>
      <w:r w:rsidR="002F78A9">
        <w:rPr>
          <w:rFonts w:ascii="Times New Roman" w:hAnsi="Times New Roman"/>
          <w:b/>
          <w:sz w:val="24"/>
          <w:szCs w:val="24"/>
        </w:rPr>
        <w:t>11</w:t>
      </w:r>
      <w:r w:rsidR="00FB5DDF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FB5DDF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18A45D6C" w14:textId="77777777" w:rsidR="009C69C5" w:rsidRPr="009C69C5" w:rsidRDefault="00C55C8B" w:rsidP="009C69C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54A8D5E6" w14:textId="380C7755" w:rsidR="009C69C5" w:rsidRPr="009C69C5" w:rsidRDefault="009C69C5" w:rsidP="009C69C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Si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çdo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akt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ligjor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nënligjor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në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fushën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e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teknologjisë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së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informacionit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.</w:t>
      </w:r>
    </w:p>
    <w:p w14:paraId="1EBAFFA9" w14:textId="77777777" w:rsidR="00046B9D" w:rsidRPr="00046B9D" w:rsidRDefault="00046B9D" w:rsidP="00046B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lastRenderedPageBreak/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722D5FDE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2F78A9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2F78A9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FB5DDF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2B7B26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78F31" w14:textId="77777777" w:rsidR="00861344" w:rsidRDefault="00861344" w:rsidP="00386E9F">
      <w:pPr>
        <w:spacing w:after="0" w:line="240" w:lineRule="auto"/>
      </w:pPr>
      <w:r>
        <w:separator/>
      </w:r>
    </w:p>
  </w:endnote>
  <w:endnote w:type="continuationSeparator" w:id="0">
    <w:p w14:paraId="2DB5244D" w14:textId="77777777" w:rsidR="00861344" w:rsidRDefault="00861344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0F5A5" w14:textId="77777777" w:rsidR="00861344" w:rsidRDefault="00861344" w:rsidP="00386E9F">
      <w:pPr>
        <w:spacing w:after="0" w:line="240" w:lineRule="auto"/>
      </w:pPr>
      <w:r>
        <w:separator/>
      </w:r>
    </w:p>
  </w:footnote>
  <w:footnote w:type="continuationSeparator" w:id="0">
    <w:p w14:paraId="5C5EEFB1" w14:textId="77777777" w:rsidR="00861344" w:rsidRDefault="00861344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5500"/>
    <w:multiLevelType w:val="hybridMultilevel"/>
    <w:tmpl w:val="75385942"/>
    <w:lvl w:ilvl="0" w:tplc="E8E06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85447"/>
    <w:multiLevelType w:val="hybridMultilevel"/>
    <w:tmpl w:val="1B781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71E7D"/>
    <w:multiLevelType w:val="hybridMultilevel"/>
    <w:tmpl w:val="958463EE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76F0B"/>
    <w:multiLevelType w:val="hybridMultilevel"/>
    <w:tmpl w:val="91FA8B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316F48"/>
    <w:multiLevelType w:val="hybridMultilevel"/>
    <w:tmpl w:val="DA988C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56B236D5"/>
    <w:multiLevelType w:val="hybridMultilevel"/>
    <w:tmpl w:val="B27021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DE0F60"/>
    <w:multiLevelType w:val="hybridMultilevel"/>
    <w:tmpl w:val="8602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45711F"/>
    <w:multiLevelType w:val="hybridMultilevel"/>
    <w:tmpl w:val="771CEC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BB42194"/>
    <w:multiLevelType w:val="hybridMultilevel"/>
    <w:tmpl w:val="B2060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6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224902"/>
    <w:multiLevelType w:val="hybridMultilevel"/>
    <w:tmpl w:val="49825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3511FA"/>
    <w:multiLevelType w:val="hybridMultilevel"/>
    <w:tmpl w:val="AC720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5F7375"/>
    <w:multiLevelType w:val="hybridMultilevel"/>
    <w:tmpl w:val="48DA3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903BFA"/>
    <w:multiLevelType w:val="hybridMultilevel"/>
    <w:tmpl w:val="EB526B52"/>
    <w:lvl w:ilvl="0" w:tplc="08004FAC">
      <w:start w:val="1"/>
      <w:numFmt w:val="lowerLetter"/>
      <w:lvlText w:val="%1) "/>
      <w:lvlJc w:val="left"/>
      <w:pPr>
        <w:ind w:left="1281" w:hanging="541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sq-AL" w:eastAsia="en-US" w:bidi="ar-SA"/>
      </w:rPr>
    </w:lvl>
    <w:lvl w:ilvl="1" w:tplc="3E84B446">
      <w:numFmt w:val="bullet"/>
      <w:lvlText w:val="•"/>
      <w:lvlJc w:val="left"/>
      <w:pPr>
        <w:ind w:left="2140" w:hanging="541"/>
      </w:pPr>
      <w:rPr>
        <w:rFonts w:hint="default"/>
        <w:lang w:val="sq-AL" w:eastAsia="en-US" w:bidi="ar-SA"/>
      </w:rPr>
    </w:lvl>
    <w:lvl w:ilvl="2" w:tplc="93E655A2">
      <w:numFmt w:val="bullet"/>
      <w:lvlText w:val="•"/>
      <w:lvlJc w:val="left"/>
      <w:pPr>
        <w:ind w:left="3001" w:hanging="541"/>
      </w:pPr>
      <w:rPr>
        <w:rFonts w:hint="default"/>
        <w:lang w:val="sq-AL" w:eastAsia="en-US" w:bidi="ar-SA"/>
      </w:rPr>
    </w:lvl>
    <w:lvl w:ilvl="3" w:tplc="AD180FBA">
      <w:numFmt w:val="bullet"/>
      <w:lvlText w:val="•"/>
      <w:lvlJc w:val="left"/>
      <w:pPr>
        <w:ind w:left="3861" w:hanging="541"/>
      </w:pPr>
      <w:rPr>
        <w:rFonts w:hint="default"/>
        <w:lang w:val="sq-AL" w:eastAsia="en-US" w:bidi="ar-SA"/>
      </w:rPr>
    </w:lvl>
    <w:lvl w:ilvl="4" w:tplc="BDD2A848">
      <w:numFmt w:val="bullet"/>
      <w:lvlText w:val="•"/>
      <w:lvlJc w:val="left"/>
      <w:pPr>
        <w:ind w:left="4722" w:hanging="541"/>
      </w:pPr>
      <w:rPr>
        <w:rFonts w:hint="default"/>
        <w:lang w:val="sq-AL" w:eastAsia="en-US" w:bidi="ar-SA"/>
      </w:rPr>
    </w:lvl>
    <w:lvl w:ilvl="5" w:tplc="6F98736E">
      <w:numFmt w:val="bullet"/>
      <w:lvlText w:val="•"/>
      <w:lvlJc w:val="left"/>
      <w:pPr>
        <w:ind w:left="5582" w:hanging="541"/>
      </w:pPr>
      <w:rPr>
        <w:rFonts w:hint="default"/>
        <w:lang w:val="sq-AL" w:eastAsia="en-US" w:bidi="ar-SA"/>
      </w:rPr>
    </w:lvl>
    <w:lvl w:ilvl="6" w:tplc="DF50AE32">
      <w:numFmt w:val="bullet"/>
      <w:lvlText w:val="•"/>
      <w:lvlJc w:val="left"/>
      <w:pPr>
        <w:ind w:left="6443" w:hanging="541"/>
      </w:pPr>
      <w:rPr>
        <w:rFonts w:hint="default"/>
        <w:lang w:val="sq-AL" w:eastAsia="en-US" w:bidi="ar-SA"/>
      </w:rPr>
    </w:lvl>
    <w:lvl w:ilvl="7" w:tplc="3D929A14">
      <w:numFmt w:val="bullet"/>
      <w:lvlText w:val="•"/>
      <w:lvlJc w:val="left"/>
      <w:pPr>
        <w:ind w:left="7303" w:hanging="541"/>
      </w:pPr>
      <w:rPr>
        <w:rFonts w:hint="default"/>
        <w:lang w:val="sq-AL" w:eastAsia="en-US" w:bidi="ar-SA"/>
      </w:rPr>
    </w:lvl>
    <w:lvl w:ilvl="8" w:tplc="64DCB772">
      <w:numFmt w:val="bullet"/>
      <w:lvlText w:val="•"/>
      <w:lvlJc w:val="left"/>
      <w:pPr>
        <w:ind w:left="8164" w:hanging="541"/>
      </w:pPr>
      <w:rPr>
        <w:rFonts w:hint="default"/>
        <w:lang w:val="sq-AL" w:eastAsia="en-US" w:bidi="ar-SA"/>
      </w:rPr>
    </w:lvl>
  </w:abstractNum>
  <w:abstractNum w:abstractNumId="54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43"/>
  </w:num>
  <w:num w:numId="2" w16cid:durableId="10382358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8"/>
  </w:num>
  <w:num w:numId="4" w16cid:durableId="2049600190">
    <w:abstractNumId w:val="35"/>
  </w:num>
  <w:num w:numId="5" w16cid:durableId="1598906998">
    <w:abstractNumId w:val="20"/>
  </w:num>
  <w:num w:numId="6" w16cid:durableId="113058763">
    <w:abstractNumId w:val="27"/>
  </w:num>
  <w:num w:numId="7" w16cid:durableId="1228570257">
    <w:abstractNumId w:val="44"/>
  </w:num>
  <w:num w:numId="8" w16cid:durableId="1945190024">
    <w:abstractNumId w:val="19"/>
  </w:num>
  <w:num w:numId="9" w16cid:durableId="1122185646">
    <w:abstractNumId w:val="39"/>
  </w:num>
  <w:num w:numId="10" w16cid:durableId="527328973">
    <w:abstractNumId w:val="26"/>
  </w:num>
  <w:num w:numId="11" w16cid:durableId="516970879">
    <w:abstractNumId w:val="7"/>
  </w:num>
  <w:num w:numId="12" w16cid:durableId="1020351522">
    <w:abstractNumId w:val="14"/>
  </w:num>
  <w:num w:numId="13" w16cid:durableId="1467309805">
    <w:abstractNumId w:val="36"/>
  </w:num>
  <w:num w:numId="14" w16cid:durableId="951936894">
    <w:abstractNumId w:val="28"/>
  </w:num>
  <w:num w:numId="15" w16cid:durableId="109858822">
    <w:abstractNumId w:val="41"/>
  </w:num>
  <w:num w:numId="16" w16cid:durableId="2032222879">
    <w:abstractNumId w:val="29"/>
  </w:num>
  <w:num w:numId="17" w16cid:durableId="1770394271">
    <w:abstractNumId w:val="49"/>
  </w:num>
  <w:num w:numId="18" w16cid:durableId="1214998911">
    <w:abstractNumId w:val="4"/>
  </w:num>
  <w:num w:numId="19" w16cid:durableId="351614000">
    <w:abstractNumId w:val="10"/>
  </w:num>
  <w:num w:numId="20" w16cid:durableId="1193154818">
    <w:abstractNumId w:val="30"/>
  </w:num>
  <w:num w:numId="21" w16cid:durableId="890312121">
    <w:abstractNumId w:val="55"/>
  </w:num>
  <w:num w:numId="22" w16cid:durableId="926426991">
    <w:abstractNumId w:val="45"/>
  </w:num>
  <w:num w:numId="23" w16cid:durableId="60295049">
    <w:abstractNumId w:val="25"/>
  </w:num>
  <w:num w:numId="24" w16cid:durableId="220285817">
    <w:abstractNumId w:val="40"/>
  </w:num>
  <w:num w:numId="25" w16cid:durableId="1279800814">
    <w:abstractNumId w:val="46"/>
  </w:num>
  <w:num w:numId="26" w16cid:durableId="1129477574">
    <w:abstractNumId w:val="31"/>
  </w:num>
  <w:num w:numId="27" w16cid:durableId="622466258">
    <w:abstractNumId w:val="32"/>
  </w:num>
  <w:num w:numId="28" w16cid:durableId="390613949">
    <w:abstractNumId w:val="54"/>
  </w:num>
  <w:num w:numId="29" w16cid:durableId="881552410">
    <w:abstractNumId w:val="24"/>
  </w:num>
  <w:num w:numId="30" w16cid:durableId="1576403455">
    <w:abstractNumId w:val="17"/>
  </w:num>
  <w:num w:numId="31" w16cid:durableId="687296390">
    <w:abstractNumId w:val="8"/>
  </w:num>
  <w:num w:numId="32" w16cid:durableId="1315065711">
    <w:abstractNumId w:val="51"/>
  </w:num>
  <w:num w:numId="33" w16cid:durableId="1500853272">
    <w:abstractNumId w:val="22"/>
  </w:num>
  <w:num w:numId="34" w16cid:durableId="849299245">
    <w:abstractNumId w:val="3"/>
  </w:num>
  <w:num w:numId="35" w16cid:durableId="1252393998">
    <w:abstractNumId w:val="6"/>
  </w:num>
  <w:num w:numId="36" w16cid:durableId="205588577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6"/>
  </w:num>
  <w:num w:numId="38" w16cid:durableId="1219626818">
    <w:abstractNumId w:val="23"/>
  </w:num>
  <w:num w:numId="39" w16cid:durableId="780412830">
    <w:abstractNumId w:val="50"/>
  </w:num>
  <w:num w:numId="40" w16cid:durableId="213660396">
    <w:abstractNumId w:val="0"/>
  </w:num>
  <w:num w:numId="41" w16cid:durableId="1414814857">
    <w:abstractNumId w:val="42"/>
  </w:num>
  <w:num w:numId="42" w16cid:durableId="163474363">
    <w:abstractNumId w:val="11"/>
  </w:num>
  <w:num w:numId="43" w16cid:durableId="1313832893">
    <w:abstractNumId w:val="1"/>
  </w:num>
  <w:num w:numId="44" w16cid:durableId="625702438">
    <w:abstractNumId w:val="5"/>
  </w:num>
  <w:num w:numId="45" w16cid:durableId="1618171133">
    <w:abstractNumId w:val="34"/>
  </w:num>
  <w:num w:numId="46" w16cid:durableId="356272959">
    <w:abstractNumId w:val="12"/>
  </w:num>
  <w:num w:numId="47" w16cid:durableId="839465285">
    <w:abstractNumId w:val="15"/>
  </w:num>
  <w:num w:numId="48" w16cid:durableId="51466313">
    <w:abstractNumId w:val="37"/>
  </w:num>
  <w:num w:numId="49" w16cid:durableId="1253976426">
    <w:abstractNumId w:val="33"/>
  </w:num>
  <w:num w:numId="50" w16cid:durableId="1290940135">
    <w:abstractNumId w:val="38"/>
  </w:num>
  <w:num w:numId="51" w16cid:durableId="1912739147">
    <w:abstractNumId w:val="9"/>
  </w:num>
  <w:num w:numId="52" w16cid:durableId="403770525">
    <w:abstractNumId w:val="53"/>
  </w:num>
  <w:num w:numId="53" w16cid:durableId="1192182018">
    <w:abstractNumId w:val="21"/>
  </w:num>
  <w:num w:numId="54" w16cid:durableId="1995179594">
    <w:abstractNumId w:val="52"/>
  </w:num>
  <w:num w:numId="55" w16cid:durableId="2080249411">
    <w:abstractNumId w:val="13"/>
  </w:num>
  <w:num w:numId="56" w16cid:durableId="938101771">
    <w:abstractNumId w:val="2"/>
  </w:num>
  <w:num w:numId="57" w16cid:durableId="625622961">
    <w:abstractNumId w:val="47"/>
  </w:num>
  <w:num w:numId="58" w16cid:durableId="581837786">
    <w:abstractNumId w:val="4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D60"/>
    <w:rsid w:val="00011BAA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A173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05D27"/>
    <w:rsid w:val="001145E7"/>
    <w:rsid w:val="00121F5B"/>
    <w:rsid w:val="001248B9"/>
    <w:rsid w:val="001249D6"/>
    <w:rsid w:val="0012749A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356A"/>
    <w:rsid w:val="001A4783"/>
    <w:rsid w:val="001A5AF4"/>
    <w:rsid w:val="001B3694"/>
    <w:rsid w:val="001C0ACE"/>
    <w:rsid w:val="001C4E76"/>
    <w:rsid w:val="001C553F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778"/>
    <w:rsid w:val="00212FE6"/>
    <w:rsid w:val="00214DCA"/>
    <w:rsid w:val="0021515F"/>
    <w:rsid w:val="00215382"/>
    <w:rsid w:val="002168F0"/>
    <w:rsid w:val="0022191E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3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B7B26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2F78A9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35EB0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A264D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67CE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0420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2CF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41A9B"/>
    <w:rsid w:val="00656427"/>
    <w:rsid w:val="00664A4F"/>
    <w:rsid w:val="00665AD4"/>
    <w:rsid w:val="0066614D"/>
    <w:rsid w:val="0067274D"/>
    <w:rsid w:val="006749E0"/>
    <w:rsid w:val="00680F12"/>
    <w:rsid w:val="0068687C"/>
    <w:rsid w:val="00687197"/>
    <w:rsid w:val="00692562"/>
    <w:rsid w:val="00693DA2"/>
    <w:rsid w:val="00695068"/>
    <w:rsid w:val="00696FAF"/>
    <w:rsid w:val="00697F24"/>
    <w:rsid w:val="006A239A"/>
    <w:rsid w:val="006B1E41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931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4B24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364"/>
    <w:rsid w:val="00847ABB"/>
    <w:rsid w:val="00851DA2"/>
    <w:rsid w:val="00857820"/>
    <w:rsid w:val="00861344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1195"/>
    <w:rsid w:val="008F2B59"/>
    <w:rsid w:val="008F2E67"/>
    <w:rsid w:val="0090507C"/>
    <w:rsid w:val="009077B1"/>
    <w:rsid w:val="009102F8"/>
    <w:rsid w:val="00912CF8"/>
    <w:rsid w:val="00917496"/>
    <w:rsid w:val="0092030E"/>
    <w:rsid w:val="00922C6D"/>
    <w:rsid w:val="009327EE"/>
    <w:rsid w:val="00932C20"/>
    <w:rsid w:val="00933825"/>
    <w:rsid w:val="0093426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5681"/>
    <w:rsid w:val="009C69C5"/>
    <w:rsid w:val="009D0080"/>
    <w:rsid w:val="009D0BCA"/>
    <w:rsid w:val="009D44C4"/>
    <w:rsid w:val="009E0156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099C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2483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882"/>
    <w:rsid w:val="00D30B6B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21D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07C71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0F44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3728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201"/>
    <w:rsid w:val="00FB1E9C"/>
    <w:rsid w:val="00FB522A"/>
    <w:rsid w:val="00FB5DDF"/>
    <w:rsid w:val="00FC22B0"/>
    <w:rsid w:val="00FC7BBD"/>
    <w:rsid w:val="00FE63FE"/>
    <w:rsid w:val="00FF08CE"/>
    <w:rsid w:val="00FF6A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2184</Words>
  <Characters>12454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2024-10-03T13:41:00Z</dcterms:created>
  <dcterms:modified xsi:type="dcterms:W3CDTF">2024-10-03T13:41:00Z</dcterms:modified>
</cp:coreProperties>
</file>