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0394CB45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66614D">
        <w:rPr>
          <w:rFonts w:ascii="Times New Roman" w:hAnsi="Times New Roman"/>
          <w:b/>
          <w:sz w:val="24"/>
          <w:szCs w:val="24"/>
          <w:lang w:val="it-IT"/>
        </w:rPr>
        <w:t>INXH</w:t>
      </w:r>
      <w:r w:rsidR="00010D60">
        <w:rPr>
          <w:rFonts w:ascii="Times New Roman" w:hAnsi="Times New Roman"/>
          <w:b/>
          <w:sz w:val="24"/>
          <w:szCs w:val="24"/>
          <w:lang w:val="it-IT"/>
        </w:rPr>
        <w:t>INIER/ARKITEKT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03118286" w:rsidR="006B3FDB" w:rsidRDefault="00010D60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Dy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Inxhinier/Arkitekt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r w:rsidR="002733BA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4F69D2">
        <w:rPr>
          <w:rFonts w:ascii="Times New Roman" w:hAnsi="Times New Roman"/>
          <w:sz w:val="24"/>
          <w:szCs w:val="24"/>
        </w:rPr>
        <w:t>Planifikimit</w:t>
      </w:r>
      <w:proofErr w:type="spellEnd"/>
      <w:r w:rsidR="004F6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9D2">
        <w:rPr>
          <w:rFonts w:ascii="Times New Roman" w:hAnsi="Times New Roman"/>
          <w:sz w:val="24"/>
          <w:szCs w:val="24"/>
        </w:rPr>
        <w:t>dhe</w:t>
      </w:r>
      <w:proofErr w:type="spellEnd"/>
      <w:r w:rsidR="004F6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9D2">
        <w:rPr>
          <w:rFonts w:ascii="Times New Roman" w:hAnsi="Times New Roman"/>
          <w:sz w:val="24"/>
          <w:szCs w:val="24"/>
        </w:rPr>
        <w:t>Zhvillimit</w:t>
      </w:r>
      <w:proofErr w:type="spellEnd"/>
      <w:r w:rsidR="004F6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9D2">
        <w:rPr>
          <w:rFonts w:ascii="Times New Roman" w:hAnsi="Times New Roman"/>
          <w:sz w:val="24"/>
          <w:szCs w:val="24"/>
        </w:rPr>
        <w:t>të</w:t>
      </w:r>
      <w:proofErr w:type="spellEnd"/>
      <w:r w:rsidR="004F6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9D2">
        <w:rPr>
          <w:rFonts w:ascii="Times New Roman" w:hAnsi="Times New Roman"/>
          <w:sz w:val="24"/>
          <w:szCs w:val="24"/>
        </w:rPr>
        <w:t>Territorit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7777777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70AFEB6B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3F0E81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E01847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3F0E81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E01847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3F0E81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57ECB061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3F0E81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E01847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3F0E81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E01847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</w:t>
      </w:r>
      <w:r w:rsidR="003F0E81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24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03CFB93" w14:textId="77777777" w:rsidR="00184C31" w:rsidRDefault="00184C31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4A324256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010D6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Inxhinier</w:t>
            </w:r>
            <w:proofErr w:type="spellEnd"/>
            <w:r w:rsidR="00010D6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/</w:t>
            </w:r>
            <w:proofErr w:type="spellStart"/>
            <w:r w:rsidR="00010D6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Arkitekt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625C766F" w14:textId="77777777" w:rsidR="00046B9D" w:rsidRPr="00046B9D" w:rsidRDefault="00046B9D" w:rsidP="00046B9D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46B9D">
        <w:rPr>
          <w:rFonts w:ascii="Times New Roman" w:hAnsi="Times New Roman"/>
          <w:sz w:val="24"/>
          <w:szCs w:val="24"/>
          <w:lang w:val="it-IT"/>
          <w14:ligatures w14:val="standardContextual"/>
        </w:rPr>
        <w:t>Është nëpunës civil dhe ka varësi direkte nga P</w:t>
      </w:r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046B9D">
        <w:rPr>
          <w:rFonts w:ascii="Times New Roman" w:hAnsi="Times New Roman"/>
          <w:sz w:val="24"/>
          <w:szCs w:val="24"/>
          <w:lang w:val="it-IT"/>
          <w14:ligatures w14:val="standardContextual"/>
        </w:rPr>
        <w:t>rgjegj</w:t>
      </w:r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046B9D">
        <w:rPr>
          <w:rFonts w:ascii="Times New Roman" w:hAnsi="Times New Roman"/>
          <w:sz w:val="24"/>
          <w:szCs w:val="24"/>
          <w:lang w:val="it-IT"/>
          <w14:ligatures w14:val="standardContextual"/>
        </w:rPr>
        <w:t xml:space="preserve">si i Sektorit. </w:t>
      </w:r>
      <w:proofErr w:type="spellStart"/>
      <w:r w:rsidRPr="00046B9D">
        <w:rPr>
          <w:rFonts w:ascii="Times New Roman" w:hAnsi="Times New Roman"/>
          <w:sz w:val="24"/>
          <w:szCs w:val="24"/>
          <w14:ligatures w14:val="standardContextual"/>
        </w:rPr>
        <w:t>Detyrat</w:t>
      </w:r>
      <w:proofErr w:type="spellEnd"/>
      <w:r w:rsidRPr="00046B9D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046B9D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hAnsi="Times New Roman"/>
          <w:sz w:val="24"/>
          <w:szCs w:val="24"/>
          <w14:ligatures w14:val="standardContextual"/>
        </w:rPr>
        <w:t>p</w:t>
      </w:r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046B9D">
        <w:rPr>
          <w:rFonts w:ascii="Times New Roman" w:hAnsi="Times New Roman"/>
          <w:sz w:val="24"/>
          <w:szCs w:val="24"/>
          <w14:ligatures w14:val="standardContextual"/>
        </w:rPr>
        <w:t>rgjegj</w:t>
      </w:r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046B9D">
        <w:rPr>
          <w:rFonts w:ascii="Times New Roman" w:hAnsi="Times New Roman"/>
          <w:sz w:val="24"/>
          <w:szCs w:val="24"/>
          <w14:ligatures w14:val="standardContextual"/>
        </w:rPr>
        <w:t>sit</w:t>
      </w:r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proofErr w:type="spellEnd"/>
      <w:r w:rsidRPr="00046B9D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46B9D">
        <w:rPr>
          <w:rFonts w:ascii="Times New Roman" w:hAnsi="Times New Roman"/>
          <w:sz w:val="24"/>
          <w:szCs w:val="24"/>
          <w14:ligatures w14:val="standardContextual"/>
        </w:rPr>
        <w:t>jan</w:t>
      </w:r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proofErr w:type="spellEnd"/>
      <w:r w:rsidRPr="00046B9D">
        <w:rPr>
          <w:rFonts w:ascii="Times New Roman" w:hAnsi="Times New Roman"/>
          <w:sz w:val="24"/>
          <w:szCs w:val="24"/>
          <w14:ligatures w14:val="standardContextual"/>
        </w:rPr>
        <w:t>:</w:t>
      </w:r>
    </w:p>
    <w:p w14:paraId="29AE9A86" w14:textId="77777777" w:rsidR="00010D60" w:rsidRPr="00010D60" w:rsidRDefault="00010D60" w:rsidP="00010D60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Kontrollon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situat</w:t>
      </w:r>
      <w:proofErr w:type="spellEnd"/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n urbane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faktike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t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paraqitur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subjektet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interesuara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territoret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q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vihen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n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dispozicion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p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r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sheshe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nd</w:t>
      </w:r>
      <w:proofErr w:type="spellEnd"/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rtimi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(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certifikimi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relievit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t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paraqitur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n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shkall</w:t>
      </w:r>
      <w:proofErr w:type="spellEnd"/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n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teknike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t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pranuar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). </w:t>
      </w:r>
    </w:p>
    <w:p w14:paraId="2A6ACF49" w14:textId="77777777" w:rsidR="00010D60" w:rsidRPr="00010D60" w:rsidRDefault="00010D60" w:rsidP="00010D60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Shqyrton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ankesat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qytetarëve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5E9EFDBB" w14:textId="77777777" w:rsidR="00010D60" w:rsidRPr="00010D60" w:rsidRDefault="00010D60" w:rsidP="00010D60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Trajton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ana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kadastrale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dosje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leje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ndërtimi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1478E373" w14:textId="77777777" w:rsidR="00010D60" w:rsidRPr="00010D60" w:rsidRDefault="00010D60" w:rsidP="00010D60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Trajton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një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pjesë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gen-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planeve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azhornimit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kontrolleve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objekte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pikepamja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topografike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7CBA778F" w14:textId="77777777" w:rsidR="00010D60" w:rsidRPr="00010D60" w:rsidRDefault="00010D60" w:rsidP="00010D60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Bashk</w:t>
      </w:r>
      <w:proofErr w:type="spellEnd"/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punon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sektor</w:t>
      </w:r>
      <w:proofErr w:type="spellEnd"/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t e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tjer</w:t>
      </w:r>
      <w:proofErr w:type="spellEnd"/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t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drejtoris</w:t>
      </w:r>
      <w:proofErr w:type="spellEnd"/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p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r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problemet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hasuara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gjat</w:t>
      </w:r>
      <w:proofErr w:type="spellEnd"/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pun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s.</w:t>
      </w:r>
    </w:p>
    <w:p w14:paraId="18899F6A" w14:textId="77777777" w:rsidR="00010D60" w:rsidRDefault="00010D60" w:rsidP="00010D60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Zbaton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t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gjitha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detyrat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dh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na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drejtori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p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r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problemet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q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dalin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brenda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natyr</w:t>
      </w:r>
      <w:proofErr w:type="spellEnd"/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s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</w:t>
      </w:r>
      <w:proofErr w:type="spellEnd"/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pun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s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</w:t>
      </w:r>
      <w:proofErr w:type="spellEnd"/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tij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6159BC77" w14:textId="77777777" w:rsidR="00010D60" w:rsidRPr="00010D60" w:rsidRDefault="00010D60" w:rsidP="00010D60">
      <w:pPr>
        <w:numPr>
          <w:ilvl w:val="0"/>
          <w:numId w:val="50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Kontrollon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mban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përgjegjësi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mbi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gjitha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akt-kontrollet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fazave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ndërtimit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4AA0046F" w14:textId="77777777" w:rsidR="00010D60" w:rsidRPr="00010D60" w:rsidRDefault="00010D60" w:rsidP="00010D60">
      <w:pPr>
        <w:numPr>
          <w:ilvl w:val="0"/>
          <w:numId w:val="49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Akt-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kontroll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piketimi</w:t>
      </w:r>
      <w:proofErr w:type="spellEnd"/>
    </w:p>
    <w:p w14:paraId="77D7030B" w14:textId="77777777" w:rsidR="00010D60" w:rsidRPr="00010D60" w:rsidRDefault="00010D60" w:rsidP="00010D60">
      <w:pPr>
        <w:numPr>
          <w:ilvl w:val="0"/>
          <w:numId w:val="49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Akt-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kontroll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0.00</w:t>
      </w:r>
    </w:p>
    <w:p w14:paraId="0E9CAC58" w14:textId="77777777" w:rsidR="00010D60" w:rsidRPr="00010D60" w:rsidRDefault="00010D60" w:rsidP="00010D60">
      <w:pPr>
        <w:numPr>
          <w:ilvl w:val="0"/>
          <w:numId w:val="49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akt-kontroll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karabinaje</w:t>
      </w:r>
      <w:proofErr w:type="spellEnd"/>
    </w:p>
    <w:p w14:paraId="2B8C5C73" w14:textId="77777777" w:rsidR="00010D60" w:rsidRPr="00010D60" w:rsidRDefault="00010D60" w:rsidP="00010D60">
      <w:pPr>
        <w:numPr>
          <w:ilvl w:val="0"/>
          <w:numId w:val="49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akt-kontroll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sistemimi</w:t>
      </w:r>
      <w:proofErr w:type="spellEnd"/>
    </w:p>
    <w:p w14:paraId="42C36F42" w14:textId="77777777" w:rsidR="00010D60" w:rsidRPr="00010D60" w:rsidRDefault="00010D60" w:rsidP="00010D60">
      <w:pPr>
        <w:numPr>
          <w:ilvl w:val="0"/>
          <w:numId w:val="49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akt-kontroll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leje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shfrytëzimi</w:t>
      </w:r>
      <w:proofErr w:type="spellEnd"/>
    </w:p>
    <w:p w14:paraId="5E901BC1" w14:textId="77777777" w:rsidR="00010D60" w:rsidRPr="00010D60" w:rsidRDefault="00010D60" w:rsidP="00010D60">
      <w:pPr>
        <w:numPr>
          <w:ilvl w:val="0"/>
          <w:numId w:val="49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gen-plane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azhornimi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5985A0B7" w14:textId="77777777" w:rsidR="00010D60" w:rsidRPr="00010D60" w:rsidRDefault="00010D60" w:rsidP="00010D60">
      <w:pPr>
        <w:numPr>
          <w:ilvl w:val="0"/>
          <w:numId w:val="5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Trajton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problemet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Këshillit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Teknik.</w:t>
      </w:r>
    </w:p>
    <w:p w14:paraId="76737201" w14:textId="77777777" w:rsidR="00010D60" w:rsidRPr="00010D60" w:rsidRDefault="00010D60" w:rsidP="00010D60">
      <w:pPr>
        <w:numPr>
          <w:ilvl w:val="0"/>
          <w:numId w:val="51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Bashkërendon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punën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përputhje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kërkesat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paraqitura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kontrolle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objektesh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45E99549" w14:textId="77777777" w:rsidR="00010D60" w:rsidRPr="00010D60" w:rsidRDefault="00010D60" w:rsidP="00010D60">
      <w:pPr>
        <w:numPr>
          <w:ilvl w:val="0"/>
          <w:numId w:val="51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Shqyrton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një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pjesë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ankesave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kontrolle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objektesh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2D10F45A" w14:textId="77777777" w:rsidR="00010D60" w:rsidRPr="00010D60" w:rsidRDefault="00010D60" w:rsidP="00010D60">
      <w:pPr>
        <w:numPr>
          <w:ilvl w:val="0"/>
          <w:numId w:val="51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Shqyrton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ankesat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qytetarëve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mbi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zbatimin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lejes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së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miratuar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7E7AEA92" w14:textId="77777777" w:rsidR="00010D60" w:rsidRPr="00010D60" w:rsidRDefault="00010D60" w:rsidP="00010D60">
      <w:pPr>
        <w:numPr>
          <w:ilvl w:val="0"/>
          <w:numId w:val="51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Shqyrton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ankesat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ndërtime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pa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leje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4C85E6FD" w14:textId="77777777" w:rsidR="00010D60" w:rsidRPr="00010D60" w:rsidRDefault="00010D60" w:rsidP="00010D60">
      <w:pPr>
        <w:numPr>
          <w:ilvl w:val="0"/>
          <w:numId w:val="51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Shqyrton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ankesat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qytetarëve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dëmtim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ambjentit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rrethues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ose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objekteve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kufitarë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ndërtohet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43AF7776" w14:textId="6E1F5F58" w:rsidR="00010D60" w:rsidRPr="00010D60" w:rsidRDefault="00010D60" w:rsidP="00010D60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Kryen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kontrollet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objekteve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leje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ndërtimi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gjatë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fazave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zbatimit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bazuar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legjislacionin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fuqi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ploteson</w:t>
      </w:r>
      <w:proofErr w:type="spellEnd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formularet</w:t>
      </w:r>
      <w:proofErr w:type="spellEnd"/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43DF9429" w:rsidR="00591F25" w:rsidRPr="001D0907" w:rsidRDefault="00212778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2778">
        <w:rPr>
          <w:rFonts w:ascii="Times New Roman" w:eastAsia="Times New Roman" w:hAnsi="Times New Roman"/>
          <w:sz w:val="24"/>
          <w:szCs w:val="24"/>
          <w:lang w:val="sq-AL"/>
        </w:rPr>
        <w:t>Të zotërojë Diplomë Universitare të nivelit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212778">
        <w:rPr>
          <w:rFonts w:ascii="Times New Roman" w:eastAsia="Times New Roman" w:hAnsi="Times New Roman"/>
          <w:sz w:val="24"/>
          <w:szCs w:val="24"/>
          <w:lang w:val="sq-AL"/>
        </w:rPr>
        <w:t xml:space="preserve">minimal </w:t>
      </w:r>
      <w:r w:rsidR="00A0051F">
        <w:rPr>
          <w:rFonts w:ascii="Times New Roman" w:eastAsia="Times New Roman" w:hAnsi="Times New Roman"/>
          <w:sz w:val="24"/>
          <w:szCs w:val="24"/>
          <w:lang w:val="sq-AL"/>
        </w:rPr>
        <w:t>“</w:t>
      </w:r>
      <w:r w:rsidRPr="00212778">
        <w:rPr>
          <w:rFonts w:ascii="Times New Roman" w:eastAsia="Times New Roman" w:hAnsi="Times New Roman"/>
          <w:sz w:val="24"/>
          <w:szCs w:val="24"/>
          <w:lang w:val="sq-AL"/>
        </w:rPr>
        <w:t>Bachelor</w:t>
      </w:r>
      <w:r w:rsidR="00A0051F">
        <w:rPr>
          <w:rFonts w:ascii="Times New Roman" w:eastAsia="Times New Roman" w:hAnsi="Times New Roman"/>
          <w:sz w:val="24"/>
          <w:szCs w:val="24"/>
          <w:lang w:val="sq-AL"/>
        </w:rPr>
        <w:t>”</w:t>
      </w:r>
      <w:r w:rsidRPr="00212778">
        <w:rPr>
          <w:rFonts w:ascii="Times New Roman" w:eastAsia="Times New Roman" w:hAnsi="Times New Roman"/>
          <w:sz w:val="24"/>
          <w:szCs w:val="24"/>
          <w:lang w:val="sq-AL"/>
        </w:rPr>
        <w:t xml:space="preserve"> në Arkitekturë/Inxhinieri Elektrike/Ndertimi.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it-IT" w:eastAsia="ru-RU"/>
        </w:rPr>
        <w:t>(</w:t>
      </w:r>
      <w:r w:rsidR="00591F25" w:rsidRPr="001D0907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lastRenderedPageBreak/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3424D63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53147216" w:rsidR="006C307B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3F0E81">
        <w:rPr>
          <w:rFonts w:ascii="Times New Roman" w:hAnsi="Times New Roman"/>
          <w:b/>
          <w:i/>
          <w:sz w:val="24"/>
          <w:szCs w:val="24"/>
        </w:rPr>
        <w:t>0</w:t>
      </w:r>
      <w:r w:rsidR="00E01847">
        <w:rPr>
          <w:rFonts w:ascii="Times New Roman" w:hAnsi="Times New Roman"/>
          <w:b/>
          <w:i/>
          <w:sz w:val="24"/>
          <w:szCs w:val="24"/>
        </w:rPr>
        <w:t>9</w:t>
      </w:r>
      <w:r w:rsidR="003F0E81">
        <w:rPr>
          <w:rFonts w:ascii="Times New Roman" w:hAnsi="Times New Roman"/>
          <w:b/>
          <w:i/>
          <w:sz w:val="24"/>
          <w:szCs w:val="24"/>
        </w:rPr>
        <w:t>/0</w:t>
      </w:r>
      <w:r w:rsidR="00E01847">
        <w:rPr>
          <w:rFonts w:ascii="Times New Roman" w:hAnsi="Times New Roman"/>
          <w:b/>
          <w:i/>
          <w:sz w:val="24"/>
          <w:szCs w:val="24"/>
        </w:rPr>
        <w:t>8</w:t>
      </w:r>
      <w:r w:rsidR="003F0E81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3F0E81">
        <w:rPr>
          <w:rFonts w:ascii="Times New Roman" w:hAnsi="Times New Roman"/>
          <w:b/>
          <w:i/>
          <w:sz w:val="24"/>
          <w:szCs w:val="24"/>
        </w:rPr>
        <w:t>4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p w14:paraId="288EA55F" w14:textId="77777777" w:rsidR="008C329B" w:rsidRPr="00B27DFE" w:rsidRDefault="008C329B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1CC4FCFD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01847">
        <w:rPr>
          <w:rFonts w:ascii="Times New Roman" w:hAnsi="Times New Roman"/>
          <w:b/>
          <w:sz w:val="24"/>
          <w:szCs w:val="24"/>
        </w:rPr>
        <w:t>11</w:t>
      </w:r>
      <w:r w:rsidR="003F0E81">
        <w:rPr>
          <w:rFonts w:ascii="Times New Roman" w:hAnsi="Times New Roman"/>
          <w:b/>
          <w:sz w:val="24"/>
          <w:szCs w:val="24"/>
        </w:rPr>
        <w:t>/0</w:t>
      </w:r>
      <w:r w:rsidR="00E01847">
        <w:rPr>
          <w:rFonts w:ascii="Times New Roman" w:hAnsi="Times New Roman"/>
          <w:b/>
          <w:sz w:val="24"/>
          <w:szCs w:val="24"/>
        </w:rPr>
        <w:t>8</w:t>
      </w:r>
      <w:r w:rsidR="003F0E81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3F0E81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7202B4">
        <w:rPr>
          <w:rFonts w:ascii="Times New Roman" w:hAnsi="Times New Roman"/>
          <w:sz w:val="24"/>
          <w:szCs w:val="24"/>
        </w:rPr>
        <w:t>Shërbimi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Kombëtar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0840E921" w14:textId="521FB290" w:rsidR="00184C31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53F1F">
        <w:rPr>
          <w:rFonts w:ascii="Times New Roman" w:hAnsi="Times New Roman"/>
          <w:sz w:val="24"/>
          <w:szCs w:val="24"/>
        </w:rPr>
        <w:t>tr</w:t>
      </w:r>
      <w:r w:rsidR="00B37BCA">
        <w:rPr>
          <w:rFonts w:ascii="Times New Roman" w:hAnsi="Times New Roman"/>
          <w:sz w:val="24"/>
          <w:szCs w:val="24"/>
        </w:rPr>
        <w:t>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495E3D" w14:textId="300F49A2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1D673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652834"/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6ECBB0A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22D0507E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Nr.152/2013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CACADCB" w14:textId="6E388A5A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Nr.9131,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77940B2D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3AE9CA75" w14:textId="77777777" w:rsidR="00212778" w:rsidRPr="00212778" w:rsidRDefault="0096180C" w:rsidP="00212778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Nr.44/2015 “Kodi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Shqipëris</w:t>
      </w:r>
      <w:bookmarkEnd w:id="0"/>
      <w:proofErr w:type="spellEnd"/>
      <w:r w:rsidR="00046B9D"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</w:p>
    <w:p w14:paraId="609F4C6A" w14:textId="25D01607" w:rsidR="00212778" w:rsidRPr="00212778" w:rsidRDefault="00212778" w:rsidP="00212778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Ligji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Nr. 107/2014 “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Për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planifikimin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dhe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zhvillimin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e 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territorit</w:t>
      </w:r>
      <w:proofErr w:type="spellEnd"/>
      <w:proofErr w:type="gram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”,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i</w:t>
      </w:r>
      <w:proofErr w:type="spellEnd"/>
      <w:proofErr w:type="gram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ndryshuar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;</w:t>
      </w:r>
    </w:p>
    <w:p w14:paraId="01796959" w14:textId="4B4CBDA1" w:rsidR="0096180C" w:rsidRPr="0096180C" w:rsidRDefault="0096180C" w:rsidP="00046B9D">
      <w:pPr>
        <w:pStyle w:val="ListParagraph"/>
        <w:spacing w:after="0" w:line="240" w:lineRule="auto"/>
        <w:contextualSpacing w:val="0"/>
        <w:jc w:val="both"/>
        <w:outlineLvl w:val="1"/>
        <w:rPr>
          <w:rFonts w:ascii="Times New Roman" w:hAnsi="Times New Roman"/>
          <w:sz w:val="24"/>
          <w:szCs w:val="24"/>
          <w:lang w:val="it-IT"/>
        </w:rPr>
      </w:pPr>
    </w:p>
    <w:p w14:paraId="7F09A516" w14:textId="77777777" w:rsidR="00184C31" w:rsidRPr="00BF2A93" w:rsidRDefault="00184C31" w:rsidP="0096180C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Njësia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0BAA">
        <w:rPr>
          <w:rFonts w:ascii="Times New Roman" w:hAnsi="Times New Roman"/>
          <w:sz w:val="24"/>
          <w:szCs w:val="24"/>
        </w:rPr>
        <w:t>Menaxhimit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Burimeve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Njerëzore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Bashkisë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Roskovec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>së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proofErr w:type="gram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0B641E8E" w:rsidR="006C307B" w:rsidRPr="001D0907" w:rsidRDefault="00697FF4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212778" w:rsidRPr="00212778">
        <w:rPr>
          <w:rFonts w:ascii="Times New Roman" w:eastAsia="Times New Roman" w:hAnsi="Times New Roman"/>
          <w:sz w:val="24"/>
          <w:szCs w:val="24"/>
          <w:lang w:val="sq-AL"/>
        </w:rPr>
        <w:t>në Arkitekturë/Inxhinieri Elektrike/Nd</w:t>
      </w:r>
      <w:r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2778" w:rsidRPr="00212778">
        <w:rPr>
          <w:rFonts w:ascii="Times New Roman" w:eastAsia="Times New Roman" w:hAnsi="Times New Roman"/>
          <w:sz w:val="24"/>
          <w:szCs w:val="24"/>
          <w:lang w:val="sq-AL"/>
        </w:rPr>
        <w:t>rtimi.</w:t>
      </w:r>
      <w:r w:rsidR="00212778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556B8E5E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3F0E81">
        <w:rPr>
          <w:rFonts w:ascii="Times New Roman" w:hAnsi="Times New Roman"/>
          <w:b/>
          <w:i/>
          <w:szCs w:val="24"/>
        </w:rPr>
        <w:t>1</w:t>
      </w:r>
      <w:r w:rsidR="00E01847">
        <w:rPr>
          <w:rFonts w:ascii="Times New Roman" w:hAnsi="Times New Roman"/>
          <w:b/>
          <w:i/>
          <w:szCs w:val="24"/>
        </w:rPr>
        <w:t>4</w:t>
      </w:r>
      <w:r w:rsidR="003F0E81">
        <w:rPr>
          <w:rFonts w:ascii="Times New Roman" w:hAnsi="Times New Roman"/>
          <w:b/>
          <w:i/>
          <w:szCs w:val="24"/>
        </w:rPr>
        <w:t>/0</w:t>
      </w:r>
      <w:r w:rsidR="00E01847">
        <w:rPr>
          <w:rFonts w:ascii="Times New Roman" w:hAnsi="Times New Roman"/>
          <w:b/>
          <w:i/>
          <w:szCs w:val="24"/>
        </w:rPr>
        <w:t>8</w:t>
      </w:r>
      <w:r w:rsidR="003F0E81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3F0E81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26E50BD2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01847">
        <w:rPr>
          <w:rFonts w:ascii="Times New Roman" w:hAnsi="Times New Roman"/>
          <w:b/>
          <w:sz w:val="24"/>
          <w:szCs w:val="24"/>
        </w:rPr>
        <w:t>30</w:t>
      </w:r>
      <w:r w:rsidR="003F0E81">
        <w:rPr>
          <w:rFonts w:ascii="Times New Roman" w:hAnsi="Times New Roman"/>
          <w:b/>
          <w:sz w:val="24"/>
          <w:szCs w:val="24"/>
        </w:rPr>
        <w:t>/0</w:t>
      </w:r>
      <w:r w:rsidR="00E01847">
        <w:rPr>
          <w:rFonts w:ascii="Times New Roman" w:hAnsi="Times New Roman"/>
          <w:b/>
          <w:sz w:val="24"/>
          <w:szCs w:val="24"/>
        </w:rPr>
        <w:t>8</w:t>
      </w:r>
      <w:r w:rsidR="003F0E81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3F0E81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B2207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4A5255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1E960FF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DEF2149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59DCF450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4A9A633A" w14:textId="08B666F3" w:rsidR="00212778" w:rsidRPr="00212778" w:rsidRDefault="00C55C8B" w:rsidP="00212778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</w:t>
      </w:r>
      <w:proofErr w:type="spellEnd"/>
      <w:r w:rsidR="00046B9D"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</w:p>
    <w:p w14:paraId="426FB280" w14:textId="77777777" w:rsidR="00212778" w:rsidRPr="00212778" w:rsidRDefault="00212778" w:rsidP="00212778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Ligji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Nr. 107/2014 “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Për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planifikimin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dhe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zhvillimin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e 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territorit</w:t>
      </w:r>
      <w:proofErr w:type="spellEnd"/>
      <w:proofErr w:type="gram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”,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i</w:t>
      </w:r>
      <w:proofErr w:type="spellEnd"/>
      <w:proofErr w:type="gram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ndryshuar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;</w:t>
      </w:r>
    </w:p>
    <w:p w14:paraId="2085A74B" w14:textId="77777777" w:rsidR="00212778" w:rsidRPr="00212778" w:rsidRDefault="00212778" w:rsidP="0021277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EBAFFA9" w14:textId="77777777" w:rsidR="00046B9D" w:rsidRPr="00046B9D" w:rsidRDefault="00046B9D" w:rsidP="00046B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5FD0692E" w14:textId="77777777" w:rsidR="00F04154" w:rsidRDefault="00F04154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1164DF6" w14:textId="77777777" w:rsidR="00F04154" w:rsidRDefault="00F04154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06D8126" w14:textId="77777777" w:rsidR="00F04154" w:rsidRDefault="00F04154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35B9E69" w14:textId="77777777" w:rsidR="00F04154" w:rsidRPr="00AA6101" w:rsidRDefault="00F04154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61C57EEE" w14:textId="64B892C6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E01847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3F0E81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E01847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3F0E81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321303FD" w:rsidR="005463BD" w:rsidRPr="00C46BC9" w:rsidRDefault="00770357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B25810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47C98" w14:textId="77777777" w:rsidR="00FA4911" w:rsidRDefault="00FA4911" w:rsidP="00386E9F">
      <w:pPr>
        <w:spacing w:after="0" w:line="240" w:lineRule="auto"/>
      </w:pPr>
      <w:r>
        <w:separator/>
      </w:r>
    </w:p>
  </w:endnote>
  <w:endnote w:type="continuationSeparator" w:id="0">
    <w:p w14:paraId="3568B31E" w14:textId="77777777" w:rsidR="00FA4911" w:rsidRDefault="00FA4911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62E6" w14:textId="77777777" w:rsidR="00FA4911" w:rsidRDefault="00FA4911" w:rsidP="00386E9F">
      <w:pPr>
        <w:spacing w:after="0" w:line="240" w:lineRule="auto"/>
      </w:pPr>
      <w:r>
        <w:separator/>
      </w:r>
    </w:p>
  </w:footnote>
  <w:footnote w:type="continuationSeparator" w:id="0">
    <w:p w14:paraId="64566925" w14:textId="77777777" w:rsidR="00FA4911" w:rsidRDefault="00FA4911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A19"/>
    <w:multiLevelType w:val="hybridMultilevel"/>
    <w:tmpl w:val="191CB6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956"/>
    <w:multiLevelType w:val="hybridMultilevel"/>
    <w:tmpl w:val="7A90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5FFF"/>
    <w:multiLevelType w:val="hybridMultilevel"/>
    <w:tmpl w:val="08A2944C"/>
    <w:lvl w:ilvl="0" w:tplc="08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85447"/>
    <w:multiLevelType w:val="hybridMultilevel"/>
    <w:tmpl w:val="1B78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F541B"/>
    <w:multiLevelType w:val="hybridMultilevel"/>
    <w:tmpl w:val="8C5645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459DA"/>
    <w:multiLevelType w:val="hybridMultilevel"/>
    <w:tmpl w:val="91B8BC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D98E63C">
      <w:start w:val="1"/>
      <w:numFmt w:val="decimal"/>
      <w:lvlText w:val="%3."/>
      <w:lvlJc w:val="left"/>
      <w:pPr>
        <w:ind w:left="63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76F0B"/>
    <w:multiLevelType w:val="hybridMultilevel"/>
    <w:tmpl w:val="91FA8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56B236D5"/>
    <w:multiLevelType w:val="hybridMultilevel"/>
    <w:tmpl w:val="B27021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7A81E26"/>
    <w:multiLevelType w:val="hybridMultilevel"/>
    <w:tmpl w:val="6382F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E0F60"/>
    <w:multiLevelType w:val="hybridMultilevel"/>
    <w:tmpl w:val="860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5711F"/>
    <w:multiLevelType w:val="hybridMultilevel"/>
    <w:tmpl w:val="771CE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C1424"/>
    <w:multiLevelType w:val="hybridMultilevel"/>
    <w:tmpl w:val="8992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3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C688B"/>
    <w:multiLevelType w:val="hybridMultilevel"/>
    <w:tmpl w:val="BD6E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40"/>
  </w:num>
  <w:num w:numId="2" w16cid:durableId="1038235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16"/>
  </w:num>
  <w:num w:numId="4" w16cid:durableId="2049600190">
    <w:abstractNumId w:val="32"/>
  </w:num>
  <w:num w:numId="5" w16cid:durableId="1598906998">
    <w:abstractNumId w:val="18"/>
  </w:num>
  <w:num w:numId="6" w16cid:durableId="113058763">
    <w:abstractNumId w:val="24"/>
  </w:num>
  <w:num w:numId="7" w16cid:durableId="1228570257">
    <w:abstractNumId w:val="41"/>
  </w:num>
  <w:num w:numId="8" w16cid:durableId="1945190024">
    <w:abstractNumId w:val="17"/>
  </w:num>
  <w:num w:numId="9" w16cid:durableId="1122185646">
    <w:abstractNumId w:val="36"/>
  </w:num>
  <w:num w:numId="10" w16cid:durableId="527328973">
    <w:abstractNumId w:val="23"/>
  </w:num>
  <w:num w:numId="11" w16cid:durableId="516970879">
    <w:abstractNumId w:val="6"/>
  </w:num>
  <w:num w:numId="12" w16cid:durableId="1020351522">
    <w:abstractNumId w:val="12"/>
  </w:num>
  <w:num w:numId="13" w16cid:durableId="1467309805">
    <w:abstractNumId w:val="33"/>
  </w:num>
  <w:num w:numId="14" w16cid:durableId="951936894">
    <w:abstractNumId w:val="25"/>
  </w:num>
  <w:num w:numId="15" w16cid:durableId="109858822">
    <w:abstractNumId w:val="38"/>
  </w:num>
  <w:num w:numId="16" w16cid:durableId="2032222879">
    <w:abstractNumId w:val="26"/>
  </w:num>
  <w:num w:numId="17" w16cid:durableId="1770394271">
    <w:abstractNumId w:val="44"/>
  </w:num>
  <w:num w:numId="18" w16cid:durableId="1214998911">
    <w:abstractNumId w:val="3"/>
  </w:num>
  <w:num w:numId="19" w16cid:durableId="351614000">
    <w:abstractNumId w:val="9"/>
  </w:num>
  <w:num w:numId="20" w16cid:durableId="1193154818">
    <w:abstractNumId w:val="27"/>
  </w:num>
  <w:num w:numId="21" w16cid:durableId="890312121">
    <w:abstractNumId w:val="48"/>
  </w:num>
  <w:num w:numId="22" w16cid:durableId="926426991">
    <w:abstractNumId w:val="42"/>
  </w:num>
  <w:num w:numId="23" w16cid:durableId="60295049">
    <w:abstractNumId w:val="22"/>
  </w:num>
  <w:num w:numId="24" w16cid:durableId="220285817">
    <w:abstractNumId w:val="37"/>
  </w:num>
  <w:num w:numId="25" w16cid:durableId="1279800814">
    <w:abstractNumId w:val="43"/>
  </w:num>
  <w:num w:numId="26" w16cid:durableId="1129477574">
    <w:abstractNumId w:val="28"/>
  </w:num>
  <w:num w:numId="27" w16cid:durableId="622466258">
    <w:abstractNumId w:val="29"/>
  </w:num>
  <w:num w:numId="28" w16cid:durableId="390613949">
    <w:abstractNumId w:val="47"/>
  </w:num>
  <w:num w:numId="29" w16cid:durableId="881552410">
    <w:abstractNumId w:val="21"/>
  </w:num>
  <w:num w:numId="30" w16cid:durableId="1576403455">
    <w:abstractNumId w:val="15"/>
  </w:num>
  <w:num w:numId="31" w16cid:durableId="687296390">
    <w:abstractNumId w:val="7"/>
  </w:num>
  <w:num w:numId="32" w16cid:durableId="1315065711">
    <w:abstractNumId w:val="46"/>
  </w:num>
  <w:num w:numId="33" w16cid:durableId="1500853272">
    <w:abstractNumId w:val="19"/>
  </w:num>
  <w:num w:numId="34" w16cid:durableId="849299245">
    <w:abstractNumId w:val="2"/>
  </w:num>
  <w:num w:numId="35" w16cid:durableId="1252393998">
    <w:abstractNumId w:val="5"/>
  </w:num>
  <w:num w:numId="36" w16cid:durableId="20558857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14"/>
  </w:num>
  <w:num w:numId="38" w16cid:durableId="1219626818">
    <w:abstractNumId w:val="20"/>
  </w:num>
  <w:num w:numId="39" w16cid:durableId="780412830">
    <w:abstractNumId w:val="45"/>
  </w:num>
  <w:num w:numId="40" w16cid:durableId="213660396">
    <w:abstractNumId w:val="0"/>
  </w:num>
  <w:num w:numId="41" w16cid:durableId="1414814857">
    <w:abstractNumId w:val="39"/>
  </w:num>
  <w:num w:numId="42" w16cid:durableId="163474363">
    <w:abstractNumId w:val="10"/>
  </w:num>
  <w:num w:numId="43" w16cid:durableId="1313832893">
    <w:abstractNumId w:val="1"/>
  </w:num>
  <w:num w:numId="44" w16cid:durableId="625702438">
    <w:abstractNumId w:val="4"/>
  </w:num>
  <w:num w:numId="45" w16cid:durableId="1618171133">
    <w:abstractNumId w:val="31"/>
  </w:num>
  <w:num w:numId="46" w16cid:durableId="356272959">
    <w:abstractNumId w:val="11"/>
  </w:num>
  <w:num w:numId="47" w16cid:durableId="839465285">
    <w:abstractNumId w:val="13"/>
  </w:num>
  <w:num w:numId="48" w16cid:durableId="51466313">
    <w:abstractNumId w:val="34"/>
  </w:num>
  <w:num w:numId="49" w16cid:durableId="1253976426">
    <w:abstractNumId w:val="30"/>
  </w:num>
  <w:num w:numId="50" w16cid:durableId="1290940135">
    <w:abstractNumId w:val="35"/>
  </w:num>
  <w:num w:numId="51" w16cid:durableId="191273914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0D60"/>
    <w:rsid w:val="000142DA"/>
    <w:rsid w:val="000219B7"/>
    <w:rsid w:val="000227F3"/>
    <w:rsid w:val="00027BC7"/>
    <w:rsid w:val="00033B81"/>
    <w:rsid w:val="00034F24"/>
    <w:rsid w:val="000445FA"/>
    <w:rsid w:val="00046B9D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C2118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2749A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1BCC"/>
    <w:rsid w:val="001D2912"/>
    <w:rsid w:val="001D2F5C"/>
    <w:rsid w:val="001D3B92"/>
    <w:rsid w:val="001D7EB0"/>
    <w:rsid w:val="001E097B"/>
    <w:rsid w:val="001E67E6"/>
    <w:rsid w:val="001F018A"/>
    <w:rsid w:val="001F16CE"/>
    <w:rsid w:val="001F61C0"/>
    <w:rsid w:val="00203360"/>
    <w:rsid w:val="00204423"/>
    <w:rsid w:val="00212778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33BA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123"/>
    <w:rsid w:val="003466C4"/>
    <w:rsid w:val="00354B6B"/>
    <w:rsid w:val="003561C2"/>
    <w:rsid w:val="0035656C"/>
    <w:rsid w:val="00356696"/>
    <w:rsid w:val="0036061D"/>
    <w:rsid w:val="00360F2E"/>
    <w:rsid w:val="00364179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B6A93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0E81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27C95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30CA"/>
    <w:rsid w:val="00497E3B"/>
    <w:rsid w:val="004B5E19"/>
    <w:rsid w:val="004B6567"/>
    <w:rsid w:val="004C119B"/>
    <w:rsid w:val="004E11D4"/>
    <w:rsid w:val="004E73AA"/>
    <w:rsid w:val="004F2F33"/>
    <w:rsid w:val="004F69D2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6614D"/>
    <w:rsid w:val="0067274D"/>
    <w:rsid w:val="006749E0"/>
    <w:rsid w:val="00680F12"/>
    <w:rsid w:val="0068687C"/>
    <w:rsid w:val="00692562"/>
    <w:rsid w:val="00693DA2"/>
    <w:rsid w:val="00695068"/>
    <w:rsid w:val="00696FAF"/>
    <w:rsid w:val="00697F24"/>
    <w:rsid w:val="00697FF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D6D9F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26BD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329B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180C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C5681"/>
    <w:rsid w:val="009D0080"/>
    <w:rsid w:val="009D0BCA"/>
    <w:rsid w:val="009D44C4"/>
    <w:rsid w:val="009E0600"/>
    <w:rsid w:val="009E5418"/>
    <w:rsid w:val="00A0051F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955"/>
    <w:rsid w:val="00B17A1A"/>
    <w:rsid w:val="00B24C2C"/>
    <w:rsid w:val="00B25810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B1289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199F"/>
    <w:rsid w:val="00C251BE"/>
    <w:rsid w:val="00C26D68"/>
    <w:rsid w:val="00C34416"/>
    <w:rsid w:val="00C36819"/>
    <w:rsid w:val="00C41E38"/>
    <w:rsid w:val="00C42933"/>
    <w:rsid w:val="00C4719F"/>
    <w:rsid w:val="00C549FA"/>
    <w:rsid w:val="00C55C8B"/>
    <w:rsid w:val="00C616B0"/>
    <w:rsid w:val="00C633A2"/>
    <w:rsid w:val="00C63E96"/>
    <w:rsid w:val="00C66024"/>
    <w:rsid w:val="00C66111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30B6B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186E"/>
    <w:rsid w:val="00DB4D14"/>
    <w:rsid w:val="00DB54E4"/>
    <w:rsid w:val="00DB7789"/>
    <w:rsid w:val="00DC56E9"/>
    <w:rsid w:val="00DD357D"/>
    <w:rsid w:val="00DD5905"/>
    <w:rsid w:val="00DD7549"/>
    <w:rsid w:val="00DE291C"/>
    <w:rsid w:val="00DE77EC"/>
    <w:rsid w:val="00DF40C6"/>
    <w:rsid w:val="00E01847"/>
    <w:rsid w:val="00E04160"/>
    <w:rsid w:val="00E07C71"/>
    <w:rsid w:val="00E1133C"/>
    <w:rsid w:val="00E201EB"/>
    <w:rsid w:val="00E22E43"/>
    <w:rsid w:val="00E22EB9"/>
    <w:rsid w:val="00E231B5"/>
    <w:rsid w:val="00E236E3"/>
    <w:rsid w:val="00E24A82"/>
    <w:rsid w:val="00E24F91"/>
    <w:rsid w:val="00E276AF"/>
    <w:rsid w:val="00E300F3"/>
    <w:rsid w:val="00E31B73"/>
    <w:rsid w:val="00E321FF"/>
    <w:rsid w:val="00E32965"/>
    <w:rsid w:val="00E3553E"/>
    <w:rsid w:val="00E35B38"/>
    <w:rsid w:val="00E45BF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04154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774FE"/>
    <w:rsid w:val="00F80440"/>
    <w:rsid w:val="00F80EEA"/>
    <w:rsid w:val="00F830FA"/>
    <w:rsid w:val="00F83E12"/>
    <w:rsid w:val="00F93BB6"/>
    <w:rsid w:val="00F9698A"/>
    <w:rsid w:val="00FA4911"/>
    <w:rsid w:val="00FA7201"/>
    <w:rsid w:val="00FB522A"/>
    <w:rsid w:val="00FC22B0"/>
    <w:rsid w:val="00FC7BBD"/>
    <w:rsid w:val="00FE63FE"/>
    <w:rsid w:val="00FF08CE"/>
    <w:rsid w:val="00FF6AA3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2024-07-29T13:08:00Z</dcterms:created>
  <dcterms:modified xsi:type="dcterms:W3CDTF">2024-07-29T13:08:00Z</dcterms:modified>
</cp:coreProperties>
</file>