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08A1A4ED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48696F">
        <w:rPr>
          <w:rFonts w:ascii="Times New Roman" w:hAnsi="Times New Roman"/>
          <w:b/>
          <w:sz w:val="24"/>
          <w:szCs w:val="24"/>
          <w:lang w:val="it-IT"/>
        </w:rPr>
        <w:t>I SEKRETARI-ARKIVIT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7E10039D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8696F">
        <w:rPr>
          <w:rFonts w:ascii="Times New Roman" w:hAnsi="Times New Roman" w:cs="Times New Roman"/>
          <w:b/>
          <w:bCs/>
          <w:sz w:val="24"/>
          <w:szCs w:val="24"/>
          <w:lang w:val="it-IT"/>
        </w:rPr>
        <w:t>i Sekretari-Arkivit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15EBC" w:rsidRPr="00DA06F2">
        <w:rPr>
          <w:rFonts w:ascii="Times New Roman" w:hAnsi="Times New Roman"/>
          <w:sz w:val="24"/>
          <w:szCs w:val="24"/>
        </w:rPr>
        <w:t xml:space="preserve">Drejtorinë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r w:rsidR="00CA0477">
        <w:rPr>
          <w:rFonts w:ascii="Times New Roman" w:hAnsi="Times New Roman"/>
          <w:sz w:val="24"/>
          <w:szCs w:val="24"/>
        </w:rPr>
        <w:t>Burimeve Njerëzore dhe Çështjeve Juridike</w:t>
      </w:r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40B43245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834B3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38DF6341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834B3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</w:t>
      </w:r>
      <w:r w:rsidR="00834B36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24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200F7DC9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 Sekretari-Arkivit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5AA9F67" w14:textId="0FE80227" w:rsidR="00DE2958" w:rsidRPr="00DE2958" w:rsidRDefault="00DE2958" w:rsidP="00DE295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si i Sektorit.</w:t>
      </w:r>
      <w:r w:rsidR="00704023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Detyrat dhe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 e tij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jan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7DB1DF72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Rregjistron korrespondencën zyrtare, e përpunon dhe e shpërndan atë;</w:t>
      </w:r>
    </w:p>
    <w:p w14:paraId="2BD61EFD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Ndihmon specialistin e arkivës për organizimin e punës për evidentimin, ruajtjen fizike, përpunimin dhe shfrytëzimin e dokumenteve në bazë të ligjeve në fuqi;</w:t>
      </w:r>
    </w:p>
    <w:p w14:paraId="506F8C1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Protokollon vendimet dhe urdhrat e Kryetarit të Bashkisë, si dhe praktikën shkresore të bashkisë nënshkruar nga Kryetari i Bashkisë apo persona të tjerë të autorizuar prej tij;</w:t>
      </w:r>
    </w:p>
    <w:p w14:paraId="625DAFA2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Punon për gjetjen e shkresave dhe dokumenteve që kërkohen nga drejtoritë e bashkisë;</w:t>
      </w:r>
    </w:p>
    <w:p w14:paraId="3F27C7EC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Protokollon dokumentet që hyjnë dhe dalin nga bashkia, si dhe dokumentet ndërmjet drejtorive të bashkisë;</w:t>
      </w:r>
    </w:p>
    <w:p w14:paraId="742D7C0D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Fotokopjon vendime të rëndësishme të K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shillit të Ministrave për pushtetin lokal, dhe ua shpërndan drejtorive përkatëse;</w:t>
      </w:r>
    </w:p>
    <w:p w14:paraId="0FFCFE5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Kryen indeksimin e shkresave të ardhura;</w:t>
      </w:r>
    </w:p>
    <w:p w14:paraId="77B59CE0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Përgjigjet për rregullsinë e regjistrimit të dokumentacionit në librat e protokollit;</w:t>
      </w:r>
    </w:p>
    <w:p w14:paraId="0D503EB4" w14:textId="77777777" w:rsidR="00DE2958" w:rsidRPr="00DE2958" w:rsidRDefault="00DE2958" w:rsidP="00DE295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Organizon dhe drejton punën për përpunimin e dokumenteve në fund të vitit;</w:t>
      </w:r>
    </w:p>
    <w:p w14:paraId="5A8246A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Bën njehsimin e dokumenteve me origjinalin, duke i sigluar ato në çdo faqe;</w:t>
      </w:r>
    </w:p>
    <w:p w14:paraId="52DD1E2D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Ndjek përdorimin korrekt të vulës dhe përgjigjet për sigurimin e saj në bazë të ligjeve;</w:t>
      </w:r>
    </w:p>
    <w:p w14:paraId="07DB9651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14:ligatures w14:val="standardContextual"/>
        </w:rPr>
        <w:t>Sistemon në arkiv fondin sipas strukturës dhe viteve përkatëse;</w:t>
      </w:r>
    </w:p>
    <w:p w14:paraId="0E225F78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14:ligatures w14:val="standardContextual"/>
        </w:rPr>
        <w:t>Ka përgjegjësine e plotë, për ruajten, miradministrimin dhe sigurine e vul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>s së sekretaris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 së bashkisë, </w:t>
      </w:r>
    </w:p>
    <w:p w14:paraId="57B5415B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14:ligatures w14:val="standardContextual"/>
        </w:rPr>
        <w:t xml:space="preserve">Kujdeset ne mënyrë që 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shkresat dhe dokumentacionet që dalin nga bashkia duhet të jenë të rregullta, të firmosura sipas rastit nga Kryetari ose nga i autorizuari i tij, të vulosura dhe të protokolluara.</w:t>
      </w:r>
    </w:p>
    <w:p w14:paraId="5F9913D4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kopje e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ës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ruhet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sekretari me afat 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vjeçar e m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pas arkivohet. </w:t>
      </w:r>
    </w:p>
    <w:p w14:paraId="0E9A88B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raste konfliktesh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kompetenc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trajtimin e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s,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 refuzues paraqitet menj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her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sekretari dhe refuzon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moskompetenc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.</w:t>
      </w:r>
    </w:p>
    <w:p w14:paraId="597B2F51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 i arkivit pranon refuzimin e shkres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moskomptenc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dhe ia paraqet Kryetarit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siglim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sin tjet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r.</w:t>
      </w:r>
    </w:p>
    <w:p w14:paraId="65D30CAB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Pranon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, 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rregjistron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librin ekorespondenc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s zyrtare dhe d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rgon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gjith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>dokumentet apo shkresat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 hartohen nga aparati administrativ,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adres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titullar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ve apo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drejtim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institucioneve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ndryshme;</w:t>
      </w:r>
    </w:p>
    <w:p w14:paraId="6C99D895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Shkresat dhe dokumentet nisen me post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n interesimin e vet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pun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sit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protokollit;</w:t>
      </w:r>
    </w:p>
    <w:p w14:paraId="6516AB83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Shkresat pranohen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aq kopje sa jan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institucionet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u d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rgohen si dhe nj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kopje q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do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ruhet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sekretari.</w:t>
      </w:r>
    </w:p>
    <w:p w14:paraId="31BEA346" w14:textId="77777777" w:rsidR="00DE2958" w:rsidRPr="00DE2958" w:rsidRDefault="00DE2958" w:rsidP="00DE2958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Kryen veprime 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 pranimin, regjistrimin e shp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rndarjen n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administrat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t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 xml:space="preserve"> korespondec</w:t>
      </w:r>
      <w:r w:rsidRPr="00DE2958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s zyrtare si vijon:</w:t>
      </w:r>
    </w:p>
    <w:p w14:paraId="798A705E" w14:textId="77777777" w:rsidR="00DE2958" w:rsidRPr="00DE2958" w:rsidRDefault="00DE2958" w:rsidP="00DE295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Dokumente dhe shkresat që vijnë në adrese të kryetarit, regjistrohen në libër dhe i jepen atij për njohje dhe siglim. Pas kësaj, protokollohen dhe shpërndahen menjëhere në  adresimet e përcaktuara.</w:t>
      </w:r>
    </w:p>
    <w:p w14:paraId="4F05D257" w14:textId="77777777" w:rsidR="00DE2958" w:rsidRPr="00DE2958" w:rsidRDefault="00DE2958" w:rsidP="00DE295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Dokumentat dhe shkresat qe vijnë në adresë të këshillit bashkiak,hapen, rregjistrohen në protokoll dhe në nje dosje të vecantë i jepen me firmë sekretarit të këshillit bashkiak për të proceduar më tej konform kompetencave të tij.</w:t>
      </w:r>
    </w:p>
    <w:p w14:paraId="2D6327C0" w14:textId="77777777" w:rsidR="00DE2958" w:rsidRPr="00DE2958" w:rsidRDefault="00DE2958" w:rsidP="00DE2958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DE2958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lastRenderedPageBreak/>
        <w:t>Dokumente ose shkresa që kanë shënimin “personale” regjistrohen sipas numrit mbi zarf dhe i jepen të pahapura personit që i adresohen.</w:t>
      </w: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770E45A3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61668741"/>
      <w:bookmarkStart w:id="1" w:name="_Hlk161665827"/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70402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="00DF3BC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Shkenca Sociale, Shkenca Humane dhe Mësuesi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bookmarkEnd w:id="0"/>
      <w:r w:rsidR="00591F25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bookmarkEnd w:id="1"/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3D44BF4E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lastRenderedPageBreak/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1C820AB6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834B36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834B36">
        <w:rPr>
          <w:rFonts w:ascii="Times New Roman" w:hAnsi="Times New Roman"/>
          <w:b/>
          <w:i/>
          <w:sz w:val="24"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6D7530E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834B36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834B36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 9131, datë 08.09.2003 “Për rregullat e etikës në administratën publike”;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12D9D950" w14:textId="77777777" w:rsidR="00085118" w:rsidRPr="00085118" w:rsidRDefault="00A77E46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Shqipërisë”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2"/>
    </w:p>
    <w:p w14:paraId="0056934E" w14:textId="39033FB3" w:rsidR="00085118" w:rsidRPr="00085118" w:rsidRDefault="00085118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118">
        <w:rPr>
          <w:rFonts w:ascii="Times New Roman" w:hAnsi="Times New Roman"/>
          <w:color w:val="000000"/>
          <w:sz w:val="24"/>
          <w:szCs w:val="24"/>
        </w:rPr>
        <w:t xml:space="preserve">Ligjin Nr. 9154, datë 06.11.2003 “Për arkivat”; </w:t>
      </w: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lastRenderedPageBreak/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1058FDFC" w14:textId="06A4E916" w:rsidR="00704023" w:rsidRPr="00704023" w:rsidRDefault="0064612D" w:rsidP="0070402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085118"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ne Shkenca Sociale, Shkenca Humane dhe Mësuesi,</w:t>
      </w:r>
      <w:r w:rsidR="00085118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085118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704023" w:rsidRPr="001D0907">
        <w:rPr>
          <w:rFonts w:ascii="Times New Roman" w:hAnsi="Times New Roman"/>
          <w:i/>
          <w:sz w:val="24"/>
          <w:szCs w:val="24"/>
        </w:rPr>
        <w:t>(Diplomat të cilat janë marrë jashtë vendit, duhet të jenë të njohura paraprakisht pranë institucionit përgjegjës për njehsimin e diplomave sipas legjislacionit në fuqi</w:t>
      </w:r>
      <w:r w:rsidR="00704023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704023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317FD69C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7409CD66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834B36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834B36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57C829A6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834B36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834B36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 9131, datë 08.09.2003 “Për rregullat e etikës në administratën publike”;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68A756CD" w14:textId="53FC325B" w:rsidR="00A77E46" w:rsidRPr="00085118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Shqipërisë”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1CC16C" w14:textId="523507CD" w:rsidR="00085118" w:rsidRPr="00E5305C" w:rsidRDefault="00085118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118">
        <w:rPr>
          <w:rFonts w:ascii="Times New Roman" w:hAnsi="Times New Roman"/>
          <w:color w:val="000000"/>
          <w:sz w:val="24"/>
          <w:szCs w:val="24"/>
        </w:rPr>
        <w:t>Ligjin Nr. 9154, datë 06.11.2003 “Për arkivat”;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lastRenderedPageBreak/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4E229AB1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834B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834B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834B36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281D77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A12E7" w14:textId="77777777" w:rsidR="00281D77" w:rsidRDefault="00281D77" w:rsidP="00386E9F">
      <w:pPr>
        <w:spacing w:after="0" w:line="240" w:lineRule="auto"/>
      </w:pPr>
      <w:r>
        <w:separator/>
      </w:r>
    </w:p>
  </w:endnote>
  <w:endnote w:type="continuationSeparator" w:id="0">
    <w:p w14:paraId="203A8993" w14:textId="77777777" w:rsidR="00281D77" w:rsidRDefault="00281D77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8687" w14:textId="77777777" w:rsidR="00281D77" w:rsidRDefault="00281D77" w:rsidP="00386E9F">
      <w:pPr>
        <w:spacing w:after="0" w:line="240" w:lineRule="auto"/>
      </w:pPr>
      <w:r>
        <w:separator/>
      </w:r>
    </w:p>
  </w:footnote>
  <w:footnote w:type="continuationSeparator" w:id="0">
    <w:p w14:paraId="29520142" w14:textId="77777777" w:rsidR="00281D77" w:rsidRDefault="00281D77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15FD"/>
    <w:multiLevelType w:val="hybridMultilevel"/>
    <w:tmpl w:val="24B49692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8090019" w:tentative="1">
      <w:start w:val="1"/>
      <w:numFmt w:val="lowerLetter"/>
      <w:lvlText w:val="%2."/>
      <w:lvlJc w:val="left"/>
      <w:pPr>
        <w:ind w:left="1422" w:hanging="360"/>
      </w:pPr>
    </w:lvl>
    <w:lvl w:ilvl="2" w:tplc="0809001B" w:tentative="1">
      <w:start w:val="1"/>
      <w:numFmt w:val="lowerRoman"/>
      <w:lvlText w:val="%3."/>
      <w:lvlJc w:val="right"/>
      <w:pPr>
        <w:ind w:left="2142" w:hanging="180"/>
      </w:pPr>
    </w:lvl>
    <w:lvl w:ilvl="3" w:tplc="0809000F" w:tentative="1">
      <w:start w:val="1"/>
      <w:numFmt w:val="decimal"/>
      <w:lvlText w:val="%4."/>
      <w:lvlJc w:val="left"/>
      <w:pPr>
        <w:ind w:left="2862" w:hanging="360"/>
      </w:pPr>
    </w:lvl>
    <w:lvl w:ilvl="4" w:tplc="08090019" w:tentative="1">
      <w:start w:val="1"/>
      <w:numFmt w:val="lowerLetter"/>
      <w:lvlText w:val="%5."/>
      <w:lvlJc w:val="left"/>
      <w:pPr>
        <w:ind w:left="3582" w:hanging="360"/>
      </w:pPr>
    </w:lvl>
    <w:lvl w:ilvl="5" w:tplc="0809001B" w:tentative="1">
      <w:start w:val="1"/>
      <w:numFmt w:val="lowerRoman"/>
      <w:lvlText w:val="%6."/>
      <w:lvlJc w:val="right"/>
      <w:pPr>
        <w:ind w:left="4302" w:hanging="180"/>
      </w:pPr>
    </w:lvl>
    <w:lvl w:ilvl="6" w:tplc="0809000F" w:tentative="1">
      <w:start w:val="1"/>
      <w:numFmt w:val="decimal"/>
      <w:lvlText w:val="%7."/>
      <w:lvlJc w:val="left"/>
      <w:pPr>
        <w:ind w:left="5022" w:hanging="360"/>
      </w:pPr>
    </w:lvl>
    <w:lvl w:ilvl="7" w:tplc="08090019" w:tentative="1">
      <w:start w:val="1"/>
      <w:numFmt w:val="lowerLetter"/>
      <w:lvlText w:val="%8."/>
      <w:lvlJc w:val="left"/>
      <w:pPr>
        <w:ind w:left="5742" w:hanging="360"/>
      </w:pPr>
    </w:lvl>
    <w:lvl w:ilvl="8" w:tplc="08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6CD4349"/>
    <w:multiLevelType w:val="hybridMultilevel"/>
    <w:tmpl w:val="00D2D556"/>
    <w:lvl w:ilvl="0" w:tplc="08004FAC">
      <w:start w:val="1"/>
      <w:numFmt w:val="lowerLetter"/>
      <w:lvlText w:val="%1) 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B42194"/>
    <w:multiLevelType w:val="hybridMultilevel"/>
    <w:tmpl w:val="955ED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9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C0A21"/>
    <w:multiLevelType w:val="multilevel"/>
    <w:tmpl w:val="105274A8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3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5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6"/>
  </w:num>
  <w:num w:numId="2" w16cid:durableId="1038235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3"/>
  </w:num>
  <w:num w:numId="4" w16cid:durableId="2049600190">
    <w:abstractNumId w:val="30"/>
  </w:num>
  <w:num w:numId="5" w16cid:durableId="1598906998">
    <w:abstractNumId w:val="17"/>
  </w:num>
  <w:num w:numId="6" w16cid:durableId="113058763">
    <w:abstractNumId w:val="23"/>
  </w:num>
  <w:num w:numId="7" w16cid:durableId="1228570257">
    <w:abstractNumId w:val="37"/>
  </w:num>
  <w:num w:numId="8" w16cid:durableId="1945190024">
    <w:abstractNumId w:val="14"/>
  </w:num>
  <w:num w:numId="9" w16cid:durableId="1122185646">
    <w:abstractNumId w:val="33"/>
  </w:num>
  <w:num w:numId="10" w16cid:durableId="527328973">
    <w:abstractNumId w:val="22"/>
  </w:num>
  <w:num w:numId="11" w16cid:durableId="516970879">
    <w:abstractNumId w:val="5"/>
  </w:num>
  <w:num w:numId="12" w16cid:durableId="1020351522">
    <w:abstractNumId w:val="10"/>
  </w:num>
  <w:num w:numId="13" w16cid:durableId="1467309805">
    <w:abstractNumId w:val="31"/>
  </w:num>
  <w:num w:numId="14" w16cid:durableId="951936894">
    <w:abstractNumId w:val="24"/>
  </w:num>
  <w:num w:numId="15" w16cid:durableId="109858822">
    <w:abstractNumId w:val="35"/>
  </w:num>
  <w:num w:numId="16" w16cid:durableId="2032222879">
    <w:abstractNumId w:val="25"/>
  </w:num>
  <w:num w:numId="17" w16cid:durableId="1770394271">
    <w:abstractNumId w:val="40"/>
  </w:num>
  <w:num w:numId="18" w16cid:durableId="1214998911">
    <w:abstractNumId w:val="2"/>
  </w:num>
  <w:num w:numId="19" w16cid:durableId="351614000">
    <w:abstractNumId w:val="7"/>
  </w:num>
  <w:num w:numId="20" w16cid:durableId="1193154818">
    <w:abstractNumId w:val="26"/>
  </w:num>
  <w:num w:numId="21" w16cid:durableId="890312121">
    <w:abstractNumId w:val="45"/>
  </w:num>
  <w:num w:numId="22" w16cid:durableId="926426991">
    <w:abstractNumId w:val="38"/>
  </w:num>
  <w:num w:numId="23" w16cid:durableId="60295049">
    <w:abstractNumId w:val="21"/>
  </w:num>
  <w:num w:numId="24" w16cid:durableId="220285817">
    <w:abstractNumId w:val="34"/>
  </w:num>
  <w:num w:numId="25" w16cid:durableId="1279800814">
    <w:abstractNumId w:val="39"/>
  </w:num>
  <w:num w:numId="26" w16cid:durableId="1129477574">
    <w:abstractNumId w:val="27"/>
  </w:num>
  <w:num w:numId="27" w16cid:durableId="622466258">
    <w:abstractNumId w:val="28"/>
  </w:num>
  <w:num w:numId="28" w16cid:durableId="390613949">
    <w:abstractNumId w:val="43"/>
  </w:num>
  <w:num w:numId="29" w16cid:durableId="881552410">
    <w:abstractNumId w:val="20"/>
  </w:num>
  <w:num w:numId="30" w16cid:durableId="1576403455">
    <w:abstractNumId w:val="12"/>
  </w:num>
  <w:num w:numId="31" w16cid:durableId="687296390">
    <w:abstractNumId w:val="6"/>
  </w:num>
  <w:num w:numId="32" w16cid:durableId="1315065711">
    <w:abstractNumId w:val="42"/>
  </w:num>
  <w:num w:numId="33" w16cid:durableId="1500853272">
    <w:abstractNumId w:val="18"/>
  </w:num>
  <w:num w:numId="34" w16cid:durableId="849299245">
    <w:abstractNumId w:val="1"/>
  </w:num>
  <w:num w:numId="35" w16cid:durableId="1252393998">
    <w:abstractNumId w:val="4"/>
  </w:num>
  <w:num w:numId="36" w16cid:durableId="2055885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1"/>
  </w:num>
  <w:num w:numId="38" w16cid:durableId="1219626818">
    <w:abstractNumId w:val="19"/>
  </w:num>
  <w:num w:numId="39" w16cid:durableId="2129038">
    <w:abstractNumId w:val="0"/>
  </w:num>
  <w:num w:numId="40" w16cid:durableId="163474363">
    <w:abstractNumId w:val="8"/>
  </w:num>
  <w:num w:numId="41" w16cid:durableId="2016347706">
    <w:abstractNumId w:val="15"/>
  </w:num>
  <w:num w:numId="42" w16cid:durableId="1344435677">
    <w:abstractNumId w:val="9"/>
  </w:num>
  <w:num w:numId="43" w16cid:durableId="990016304">
    <w:abstractNumId w:val="41"/>
  </w:num>
  <w:num w:numId="44" w16cid:durableId="1669626101">
    <w:abstractNumId w:val="3"/>
  </w:num>
  <w:num w:numId="45" w16cid:durableId="713428392">
    <w:abstractNumId w:val="32"/>
  </w:num>
  <w:num w:numId="46" w16cid:durableId="1258250522">
    <w:abstractNumId w:val="16"/>
  </w:num>
  <w:num w:numId="47" w16cid:durableId="1677492113">
    <w:abstractNumId w:val="29"/>
  </w:num>
  <w:num w:numId="48" w16cid:durableId="1814323543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3A74"/>
    <w:rsid w:val="00027BC7"/>
    <w:rsid w:val="00033B81"/>
    <w:rsid w:val="00034F24"/>
    <w:rsid w:val="000445FA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118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C7E00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1D77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696F"/>
    <w:rsid w:val="00487D61"/>
    <w:rsid w:val="00497E3B"/>
    <w:rsid w:val="004B5E19"/>
    <w:rsid w:val="004B6567"/>
    <w:rsid w:val="004C119B"/>
    <w:rsid w:val="004C67DA"/>
    <w:rsid w:val="004E11D4"/>
    <w:rsid w:val="004E1DA9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4612D"/>
    <w:rsid w:val="00656427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023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4B36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71A2C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2958"/>
    <w:rsid w:val="00DE77EC"/>
    <w:rsid w:val="00DF3BCA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5305C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1FEB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2024-03-18T12:11:00Z</dcterms:created>
  <dcterms:modified xsi:type="dcterms:W3CDTF">2024-04-24T06:47:00Z</dcterms:modified>
</cp:coreProperties>
</file>