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149694C1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A356A">
        <w:rPr>
          <w:rFonts w:ascii="Times New Roman" w:hAnsi="Times New Roman"/>
          <w:b/>
          <w:sz w:val="24"/>
          <w:szCs w:val="24"/>
          <w:lang w:val="it-IT"/>
        </w:rPr>
        <w:t>PË</w:t>
      </w:r>
      <w:r w:rsidR="001C553F">
        <w:rPr>
          <w:rFonts w:ascii="Times New Roman" w:hAnsi="Times New Roman"/>
          <w:b/>
          <w:sz w:val="24"/>
          <w:szCs w:val="24"/>
          <w:lang w:val="it-IT"/>
        </w:rPr>
        <w:t xml:space="preserve">R </w:t>
      </w:r>
      <w:r w:rsidR="00847364">
        <w:rPr>
          <w:rFonts w:ascii="Times New Roman" w:hAnsi="Times New Roman"/>
          <w:b/>
          <w:sz w:val="24"/>
          <w:szCs w:val="24"/>
          <w:lang w:val="it-IT"/>
        </w:rPr>
        <w:t>VULLNETARIZMIN, DIASPORËN, MIGRACIONIN DHE RININË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65958B8B" w:rsidR="006B3FDB" w:rsidRDefault="006D3DB6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Një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A356A">
        <w:rPr>
          <w:rFonts w:ascii="Times New Roman" w:hAnsi="Times New Roman" w:cs="Times New Roman"/>
          <w:b/>
          <w:bCs/>
          <w:sz w:val="24"/>
          <w:szCs w:val="24"/>
          <w:lang w:val="it-IT"/>
        </w:rPr>
        <w:t>p</w:t>
      </w:r>
      <w:r w:rsidR="001C553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ër </w:t>
      </w:r>
      <w:r w:rsidR="00847364">
        <w:rPr>
          <w:rFonts w:ascii="Times New Roman" w:hAnsi="Times New Roman" w:cs="Times New Roman"/>
          <w:b/>
          <w:bCs/>
          <w:sz w:val="24"/>
          <w:szCs w:val="24"/>
          <w:lang w:val="it-IT"/>
        </w:rPr>
        <w:t>Vullnetarizmin, Diasporën, Migracionin dhe Rininë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1C553F">
        <w:rPr>
          <w:rFonts w:ascii="Times New Roman" w:hAnsi="Times New Roman"/>
          <w:sz w:val="24"/>
          <w:szCs w:val="24"/>
        </w:rPr>
        <w:t>Integrimit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Europian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dhe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Marrëdhenieve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1C553F">
        <w:rPr>
          <w:rFonts w:ascii="Times New Roman" w:hAnsi="Times New Roman"/>
          <w:sz w:val="24"/>
          <w:szCs w:val="24"/>
        </w:rPr>
        <w:t>Publikun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03C912CA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19680C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19680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19680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288A8D6F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19680C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19680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19680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3C918E7B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Diasporën</w:t>
            </w:r>
            <w:proofErr w:type="spellEnd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,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Vullnetarizmin</w:t>
            </w:r>
            <w:proofErr w:type="spellEnd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,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Migracionin</w:t>
            </w:r>
            <w:proofErr w:type="spellEnd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dhe</w:t>
            </w:r>
            <w:proofErr w:type="spellEnd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84736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Rininë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381FFDB3" w14:textId="77777777" w:rsidR="00847364" w:rsidRPr="00847364" w:rsidRDefault="00847364" w:rsidP="00847364">
      <w:pPr>
        <w:tabs>
          <w:tab w:val="left" w:pos="7789"/>
        </w:tabs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847364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nëpunës civil dhe k</w:t>
      </w:r>
      <w:r w:rsidRPr="00847364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a varësi direkte nga P</w:t>
      </w:r>
      <w:r w:rsidRPr="00847364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ër</w:t>
      </w:r>
      <w:r w:rsidRPr="00847364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gjegj</w:t>
      </w:r>
      <w:r w:rsidRPr="00847364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</w:t>
      </w:r>
      <w:r w:rsidRPr="00847364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si i Njësisë. </w:t>
      </w:r>
      <w:r w:rsidRPr="00847364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Detyrat e përgjegjësitë e tij janë:</w:t>
      </w:r>
    </w:p>
    <w:p w14:paraId="3E549844" w14:textId="48142B44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341"/>
        </w:tabs>
        <w:autoSpaceDE w:val="0"/>
        <w:autoSpaceDN w:val="0"/>
        <w:spacing w:before="2" w:after="0"/>
        <w:ind w:right="123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Nxit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organizimin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brenda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jashtë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vendit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mbajtjen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komunikimit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vazhdueshëm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forcimin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marrëdhënieve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migrantët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shqiptarë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cilët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kanë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vendlindjen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origjinën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territori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Roskovec</w:t>
      </w:r>
      <w:proofErr w:type="spellEnd"/>
    </w:p>
    <w:p w14:paraId="4E62332E" w14:textId="12D0F565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540"/>
          <w:tab w:val="left" w:pos="1341"/>
        </w:tabs>
        <w:autoSpaceDE w:val="0"/>
        <w:autoSpaceDN w:val="0"/>
        <w:spacing w:after="0"/>
        <w:ind w:right="126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interesuarve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diaspora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migracioni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legjislacionin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shqiptar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fushën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investimeve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hapësirën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8525AAE" w14:textId="6883DD6F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282"/>
        </w:tabs>
        <w:autoSpaceDE w:val="0"/>
        <w:autoSpaceDN w:val="0"/>
        <w:spacing w:before="1"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Informon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çështjet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847364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lidhen</w:t>
      </w:r>
      <w:proofErr w:type="spellEnd"/>
      <w:r w:rsidRPr="00847364">
        <w:rPr>
          <w:rFonts w:ascii="Times New Roman" w:eastAsia="Times New Roman" w:hAnsi="Times New Roman"/>
          <w:spacing w:val="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fitimin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shtetësisë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shqiptare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7A6D9F6C" w14:textId="35EF73DA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341"/>
        </w:tabs>
        <w:autoSpaceDE w:val="0"/>
        <w:autoSpaceDN w:val="0"/>
        <w:spacing w:after="0"/>
        <w:ind w:right="124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Bashkërendon</w:t>
      </w:r>
      <w:proofErr w:type="spellEnd"/>
      <w:r w:rsidRPr="00847364">
        <w:rPr>
          <w:rFonts w:ascii="Times New Roman" w:eastAsia="Times New Roman" w:hAnsi="Times New Roman"/>
          <w:spacing w:val="-13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strukturat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administrative</w:t>
      </w:r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1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rritjen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1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kapacitetit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përthithës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projekteve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Bashkimit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Evropian</w:t>
      </w:r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dobi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komunitetit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diasporës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migrantëve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A89E6BF" w14:textId="5AA8698D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282"/>
        </w:tabs>
        <w:autoSpaceDE w:val="0"/>
        <w:autoSpaceDN w:val="0"/>
        <w:spacing w:after="0"/>
        <w:ind w:right="121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Koordinon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bashkërendon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ministritë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punët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brendshme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punët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jashtme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dhënien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çështjet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lidhen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migracionin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7766189B" w14:textId="0B0279B9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282"/>
        </w:tabs>
        <w:autoSpaceDE w:val="0"/>
        <w:autoSpaceDN w:val="0"/>
        <w:spacing w:after="0"/>
        <w:ind w:right="119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Bashkëpunon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funkionimin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platformave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elektronike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shpërndan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çështjet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diasporës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migracionit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bashkëpunim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strukturën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përgjegjëse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komunikimit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digjital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1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cila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administron</w:t>
      </w:r>
      <w:proofErr w:type="spellEnd"/>
      <w:r w:rsidRPr="00847364">
        <w:rPr>
          <w:rFonts w:ascii="Times New Roman" w:eastAsia="Times New Roman" w:hAnsi="Times New Roman"/>
          <w:spacing w:val="-1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publikon</w:t>
      </w:r>
      <w:proofErr w:type="spellEnd"/>
      <w:r w:rsidRPr="00847364">
        <w:rPr>
          <w:rFonts w:ascii="Times New Roman" w:eastAsia="Times New Roman" w:hAnsi="Times New Roman"/>
          <w:spacing w:val="-1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847364">
        <w:rPr>
          <w:rFonts w:ascii="Times New Roman" w:eastAsia="Times New Roman" w:hAnsi="Times New Roman"/>
          <w:spacing w:val="-1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faqen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zyrtare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internetit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22CAEFBE" w14:textId="2323F934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6"/>
        </w:tabs>
        <w:autoSpaceDE w:val="0"/>
        <w:autoSpaceDN w:val="0"/>
        <w:spacing w:before="4" w:after="0"/>
        <w:ind w:right="125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Organizon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koordinon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veprimtaritë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synojnë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arritjen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objektivave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vendore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fushën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mbrojtjes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fuqizimit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E5C0232" w14:textId="36D1CFB6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Organizon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ofron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veprimtaritë</w:t>
      </w:r>
      <w:proofErr w:type="spellEnd"/>
      <w:r w:rsidRPr="00847364">
        <w:rPr>
          <w:rFonts w:ascii="Times New Roman" w:eastAsia="Times New Roman" w:hAnsi="Times New Roman"/>
          <w:spacing w:val="-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mbështetur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mirëqenien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zhvillimin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0ACD1E85" w14:textId="1E7D2D3B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Nxitit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vullnetarizmin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edukimin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joformal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tyre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7A188C6F" w14:textId="63C68566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Krijon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struktura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administrative</w:t>
      </w:r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çështjet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rinisë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1AD08067" w14:textId="04062FBD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041"/>
        </w:tabs>
        <w:autoSpaceDE w:val="0"/>
        <w:autoSpaceDN w:val="0"/>
        <w:spacing w:after="0"/>
        <w:ind w:right="119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Parashikon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buxhetet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drejtorisë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fondeve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realizimin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progresiv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drejtave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zhvillimin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projekteve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veprimtarive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rinore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4BDAAF7B" w14:textId="1728DB1B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1021"/>
        </w:tabs>
        <w:autoSpaceDE w:val="0"/>
        <w:autoSpaceDN w:val="0"/>
        <w:spacing w:after="0"/>
        <w:ind w:right="124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Mbledh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analizon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raporton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dhënat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bashkëpunim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institucionet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situatën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drejtave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rinjve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territorin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tyre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1F8AE724" w14:textId="6BDFB9D2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86"/>
        </w:tabs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</w:pP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Bashkërendon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strukturat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administrative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rritjen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kapacitetit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përthithës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përdorimit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asistencës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Evropian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procesin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integrimit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evropian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nivel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vendor.</w:t>
      </w:r>
    </w:p>
    <w:p w14:paraId="2ED2014F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706"/>
        </w:tabs>
        <w:autoSpaceDE w:val="0"/>
        <w:autoSpaceDN w:val="0"/>
        <w:spacing w:before="61" w:after="0"/>
        <w:ind w:right="12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14.Përgatit</w:t>
      </w:r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projekte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kuadër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asistencës</w:t>
      </w:r>
      <w:proofErr w:type="spellEnd"/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847364">
        <w:rPr>
          <w:rFonts w:ascii="Times New Roman" w:eastAsia="Times New Roman" w:hAnsi="Times New Roman"/>
          <w:spacing w:val="-9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Bashkimit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Evropian</w:t>
      </w:r>
      <w:r w:rsidRPr="00847364">
        <w:rPr>
          <w:rFonts w:ascii="Times New Roman" w:eastAsia="Times New Roman" w:hAnsi="Times New Roman"/>
          <w:spacing w:val="-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informon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qartë</w:t>
      </w:r>
      <w:proofErr w:type="spellEnd"/>
      <w:r w:rsidRPr="00847364">
        <w:rPr>
          <w:rFonts w:ascii="Times New Roman" w:eastAsia="Times New Roman" w:hAnsi="Times New Roman"/>
          <w:spacing w:val="80"/>
          <w:w w:val="15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kohë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Thirrjet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Aplikime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shpallura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kuadër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BE-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4988F423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71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15.Identifikon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gjëndjen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aktuale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arsimin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profesional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260AC4A6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before="4"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16.Grumbullon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dhënave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kryen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administrimin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analizimin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tyre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0626D74B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after="0"/>
        <w:ind w:right="128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17.Identifikon</w:t>
      </w:r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njeh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nevojat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aktuale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qëllim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hartimin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strategjik</w:t>
      </w:r>
      <w:proofErr w:type="spellEnd"/>
      <w:r w:rsidRPr="00847364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pacing w:val="8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promovimin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arsimit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profesional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1B1E1A8F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46"/>
        </w:tabs>
        <w:autoSpaceDE w:val="0"/>
        <w:autoSpaceDN w:val="0"/>
        <w:spacing w:after="0"/>
        <w:ind w:right="126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18.Identifikon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nevojat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sistemit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arsimit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profesional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planifikuar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aktivitete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promovuese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shërbim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target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grupit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rinor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arsimin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profesional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6CEDB045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911"/>
        </w:tabs>
        <w:autoSpaceDE w:val="0"/>
        <w:autoSpaceDN w:val="0"/>
        <w:spacing w:before="1" w:after="0"/>
        <w:ind w:right="124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19.Nxit</w:t>
      </w:r>
      <w:r w:rsidRPr="00847364">
        <w:rPr>
          <w:rFonts w:ascii="Times New Roman" w:eastAsia="Times New Roman" w:hAnsi="Times New Roman"/>
          <w:spacing w:val="7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7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përfshin</w:t>
      </w:r>
      <w:proofErr w:type="spellEnd"/>
      <w:r w:rsidRPr="00847364">
        <w:rPr>
          <w:rFonts w:ascii="Times New Roman" w:eastAsia="Times New Roman" w:hAnsi="Times New Roman"/>
          <w:spacing w:val="80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target</w:t>
      </w:r>
      <w:r w:rsidRPr="00847364">
        <w:rPr>
          <w:rFonts w:ascii="Times New Roman" w:eastAsia="Times New Roman" w:hAnsi="Times New Roman"/>
          <w:spacing w:val="7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grupin</w:t>
      </w:r>
      <w:proofErr w:type="spellEnd"/>
      <w:r w:rsidRPr="00847364">
        <w:rPr>
          <w:rFonts w:ascii="Times New Roman" w:eastAsia="Times New Roman" w:hAnsi="Times New Roman"/>
          <w:spacing w:val="7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rinor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7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847364">
        <w:rPr>
          <w:rFonts w:ascii="Times New Roman" w:eastAsia="Times New Roman" w:hAnsi="Times New Roman"/>
          <w:spacing w:val="7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projekte</w:t>
      </w:r>
      <w:proofErr w:type="spellEnd"/>
      <w:r w:rsidRPr="00847364">
        <w:rPr>
          <w:rFonts w:ascii="Times New Roman" w:eastAsia="Times New Roman" w:hAnsi="Times New Roman"/>
          <w:spacing w:val="78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inovative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8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kreative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847364">
        <w:rPr>
          <w:rFonts w:ascii="Times New Roman" w:eastAsia="Times New Roman" w:hAnsi="Times New Roman"/>
          <w:spacing w:val="80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edukuese</w:t>
      </w:r>
      <w:proofErr w:type="spellEnd"/>
      <w:r w:rsidRPr="00847364">
        <w:rPr>
          <w:rFonts w:ascii="Times New Roman" w:eastAsia="Times New Roman" w:hAnsi="Times New Roman"/>
          <w:spacing w:val="7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socializuese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75903C7A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after="0"/>
        <w:ind w:right="125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20.Njofton me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shkrim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anetaret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KVR-se, per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daten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oren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vendin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mbledhjes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pakten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7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perpara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saj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396D0670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21.Njofton</w:t>
      </w:r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shkrim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anëtaret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KVR-se,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</w:t>
      </w:r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rast</w:t>
      </w:r>
      <w:proofErr w:type="spellEnd"/>
      <w:r w:rsidRPr="00847364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anulimi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mbledhjes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se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planifikuar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269CC2BE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22.Kryen</w:t>
      </w:r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verifikimin</w:t>
      </w:r>
      <w:proofErr w:type="spellEnd"/>
      <w:r w:rsidRPr="00847364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kuorumit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nevojshem</w:t>
      </w:r>
      <w:proofErr w:type="spellEnd"/>
      <w:r w:rsidRPr="00847364">
        <w:rPr>
          <w:rFonts w:ascii="Times New Roman" w:eastAsia="Times New Roman" w:hAnsi="Times New Roman"/>
          <w:spacing w:val="-6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ne</w:t>
      </w:r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fillim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pacing w:val="-7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do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mbledhje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66E7B482" w14:textId="77777777" w:rsidR="00847364" w:rsidRPr="00847364" w:rsidRDefault="00847364" w:rsidP="00847364">
      <w:pPr>
        <w:pStyle w:val="ListParagraph"/>
        <w:widowControl w:val="0"/>
        <w:numPr>
          <w:ilvl w:val="0"/>
          <w:numId w:val="57"/>
        </w:numPr>
        <w:tabs>
          <w:tab w:val="left" w:pos="831"/>
        </w:tabs>
        <w:autoSpaceDE w:val="0"/>
        <w:autoSpaceDN w:val="0"/>
        <w:spacing w:after="0"/>
        <w:ind w:right="126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lastRenderedPageBreak/>
        <w:t xml:space="preserve">23.Ne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rast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se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konstaton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mungese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perseritur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pajustifikuar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anetareve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per 3 (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tre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 here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radhazi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eshtë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detyruar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njoftoje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kryetarin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lirimin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detyra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zevendesimin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mandatit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;</w:t>
      </w:r>
    </w:p>
    <w:p w14:paraId="6204D5FC" w14:textId="77777777" w:rsidR="00847364" w:rsidRPr="00847364" w:rsidRDefault="00847364" w:rsidP="00847364">
      <w:pPr>
        <w:pStyle w:val="ListParagraph"/>
        <w:numPr>
          <w:ilvl w:val="0"/>
          <w:numId w:val="57"/>
        </w:numPr>
        <w:tabs>
          <w:tab w:val="left" w:pos="7789"/>
        </w:tabs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</w:pP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24.Mban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proçesverbalin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847364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mbledhjes</w:t>
      </w:r>
      <w:proofErr w:type="spellEnd"/>
      <w:r w:rsidRPr="00847364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847364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zbardh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ate</w:t>
      </w:r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brenda</w:t>
      </w:r>
      <w:proofErr w:type="spellEnd"/>
      <w:r w:rsidRPr="00847364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5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(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pesë</w:t>
      </w:r>
      <w:proofErr w:type="spellEnd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)</w:t>
      </w:r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z w:val="24"/>
          <w:szCs w:val="24"/>
          <w14:ligatures w14:val="standardContextual"/>
        </w:rPr>
        <w:t>ditève</w:t>
      </w:r>
      <w:proofErr w:type="spellEnd"/>
      <w:r w:rsidRPr="00847364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pune</w:t>
      </w:r>
      <w:proofErr w:type="spellEnd"/>
      <w:r w:rsidRPr="00847364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589EF22E" w:rsidR="00591F25" w:rsidRPr="001D0907" w:rsidRDefault="00C51883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në </w:t>
      </w:r>
      <w:r w:rsidR="00764B24">
        <w:rPr>
          <w:rFonts w:ascii="Times New Roman" w:hAnsi="Times New Roman"/>
          <w:sz w:val="24"/>
          <w:szCs w:val="24"/>
          <w:lang w:val="it-IT" w:eastAsia="ru-RU"/>
        </w:rPr>
        <w:t>Shkenca Sociale, Shkenca Humane, Shendet Publik,  Mesuesi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212778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197F6E73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1A4A3839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19680C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19680C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0CD48E6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9680C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19680C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498CA43" w14:textId="77777777" w:rsidR="00847364" w:rsidRPr="00847364" w:rsidRDefault="0096180C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3CD1F40B" w14:textId="77777777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45/2016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vullnetarizmin</w:t>
      </w:r>
      <w:proofErr w:type="spellEnd"/>
      <w:r w:rsidRPr="00847364">
        <w:rPr>
          <w:rFonts w:ascii="Times New Roman" w:hAnsi="Times New Roman"/>
          <w:sz w:val="24"/>
          <w:szCs w:val="24"/>
        </w:rPr>
        <w:t>”</w:t>
      </w:r>
    </w:p>
    <w:p w14:paraId="2C0E751D" w14:textId="77777777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16/2018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diasporën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847364">
        <w:rPr>
          <w:rFonts w:ascii="Times New Roman" w:hAnsi="Times New Roman"/>
          <w:sz w:val="24"/>
          <w:szCs w:val="24"/>
        </w:rPr>
        <w:t>ndryshuar</w:t>
      </w:r>
      <w:proofErr w:type="spellEnd"/>
    </w:p>
    <w:p w14:paraId="662B0D68" w14:textId="2E75331C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75/2019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rininë</w:t>
      </w:r>
      <w:proofErr w:type="spellEnd"/>
      <w:r w:rsidRPr="00847364">
        <w:rPr>
          <w:rFonts w:ascii="Times New Roman" w:hAnsi="Times New Roman"/>
          <w:sz w:val="24"/>
          <w:szCs w:val="24"/>
        </w:rPr>
        <w:t>”</w:t>
      </w:r>
    </w:p>
    <w:p w14:paraId="41035A0D" w14:textId="3489F119" w:rsidR="00D30882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Si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çdo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akt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ligjor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nënligjor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fushën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e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integrimit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europian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koordinimit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të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ndihmës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së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huaj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menaxhimit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të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projekteve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fushën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e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vullnetarizmit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migracionit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diasporës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rinisë</w:t>
      </w:r>
      <w:proofErr w:type="spellEnd"/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lastRenderedPageBreak/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3D777EDE" w:rsidR="006C307B" w:rsidRPr="001D0907" w:rsidRDefault="00123818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në </w:t>
      </w:r>
      <w:r w:rsidR="00764B24">
        <w:rPr>
          <w:rFonts w:ascii="Times New Roman" w:hAnsi="Times New Roman"/>
          <w:sz w:val="24"/>
          <w:szCs w:val="24"/>
          <w:lang w:val="it-IT" w:eastAsia="ru-RU"/>
        </w:rPr>
        <w:t>Shkenca Sociale, Shkenca Humane, Shendet Publik,  Mesuesi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lastRenderedPageBreak/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42A37B83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19680C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19680C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6677A5F5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9680C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19680C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2C644075" w14:textId="77777777" w:rsidR="00847364" w:rsidRPr="00847364" w:rsidRDefault="00C55C8B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52B044F0" w14:textId="77777777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45/2016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vullnetarizmin</w:t>
      </w:r>
      <w:proofErr w:type="spellEnd"/>
      <w:r w:rsidRPr="00847364">
        <w:rPr>
          <w:rFonts w:ascii="Times New Roman" w:hAnsi="Times New Roman"/>
          <w:sz w:val="24"/>
          <w:szCs w:val="24"/>
        </w:rPr>
        <w:t>”</w:t>
      </w:r>
    </w:p>
    <w:p w14:paraId="221ECD08" w14:textId="77777777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lastRenderedPageBreak/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16/2018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diasporën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847364">
        <w:rPr>
          <w:rFonts w:ascii="Times New Roman" w:hAnsi="Times New Roman"/>
          <w:sz w:val="24"/>
          <w:szCs w:val="24"/>
        </w:rPr>
        <w:t>ndryshuar</w:t>
      </w:r>
      <w:proofErr w:type="spellEnd"/>
    </w:p>
    <w:p w14:paraId="03D8611B" w14:textId="355E4905" w:rsidR="00847364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364">
        <w:rPr>
          <w:rFonts w:ascii="Times New Roman" w:hAnsi="Times New Roman"/>
          <w:sz w:val="24"/>
          <w:szCs w:val="24"/>
        </w:rPr>
        <w:t>Ligji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75/2019 “</w:t>
      </w:r>
      <w:proofErr w:type="spellStart"/>
      <w:r w:rsidRPr="00847364">
        <w:rPr>
          <w:rFonts w:ascii="Times New Roman" w:hAnsi="Times New Roman"/>
          <w:sz w:val="24"/>
          <w:szCs w:val="24"/>
        </w:rPr>
        <w:t>Për</w:t>
      </w:r>
      <w:proofErr w:type="spellEnd"/>
      <w:r w:rsidRPr="00847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364">
        <w:rPr>
          <w:rFonts w:ascii="Times New Roman" w:hAnsi="Times New Roman"/>
          <w:sz w:val="24"/>
          <w:szCs w:val="24"/>
        </w:rPr>
        <w:t>rininë</w:t>
      </w:r>
      <w:proofErr w:type="spellEnd"/>
      <w:r w:rsidRPr="00847364">
        <w:rPr>
          <w:rFonts w:ascii="Times New Roman" w:hAnsi="Times New Roman"/>
          <w:sz w:val="24"/>
          <w:szCs w:val="24"/>
        </w:rPr>
        <w:t>”</w:t>
      </w:r>
    </w:p>
    <w:p w14:paraId="2EA6DCBA" w14:textId="4942645F" w:rsidR="00105D27" w:rsidRPr="00847364" w:rsidRDefault="00847364" w:rsidP="0084736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Si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çdo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akt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ligjor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nënligjor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fushën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e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integrimit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europian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koordinimit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të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ndihmës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së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huaj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dhe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menaxhimit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të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projekteve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në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fushën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 e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vullnetarizmit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migracionit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diasporës</w:t>
      </w:r>
      <w:proofErr w:type="spellEnd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 xml:space="preserve">, </w:t>
      </w:r>
      <w:proofErr w:type="spellStart"/>
      <w:r w:rsidRPr="00847364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  <w14:ligatures w14:val="standardContextual"/>
        </w:rPr>
        <w:t>rinisë</w:t>
      </w:r>
      <w:proofErr w:type="spellEnd"/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5DB1CEDA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19680C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19680C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19680C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996272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C9E36" w14:textId="77777777" w:rsidR="00996272" w:rsidRDefault="00996272" w:rsidP="00386E9F">
      <w:pPr>
        <w:spacing w:after="0" w:line="240" w:lineRule="auto"/>
      </w:pPr>
      <w:r>
        <w:separator/>
      </w:r>
    </w:p>
  </w:endnote>
  <w:endnote w:type="continuationSeparator" w:id="0">
    <w:p w14:paraId="3D4601B4" w14:textId="77777777" w:rsidR="00996272" w:rsidRDefault="00996272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FF206" w14:textId="77777777" w:rsidR="00996272" w:rsidRDefault="00996272" w:rsidP="00386E9F">
      <w:pPr>
        <w:spacing w:after="0" w:line="240" w:lineRule="auto"/>
      </w:pPr>
      <w:r>
        <w:separator/>
      </w:r>
    </w:p>
  </w:footnote>
  <w:footnote w:type="continuationSeparator" w:id="0">
    <w:p w14:paraId="63040E0E" w14:textId="77777777" w:rsidR="00996272" w:rsidRDefault="00996272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6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3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3"/>
  </w:num>
  <w:num w:numId="2" w16cid:durableId="10382358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8"/>
  </w:num>
  <w:num w:numId="4" w16cid:durableId="2049600190">
    <w:abstractNumId w:val="35"/>
  </w:num>
  <w:num w:numId="5" w16cid:durableId="1598906998">
    <w:abstractNumId w:val="20"/>
  </w:num>
  <w:num w:numId="6" w16cid:durableId="113058763">
    <w:abstractNumId w:val="27"/>
  </w:num>
  <w:num w:numId="7" w16cid:durableId="1228570257">
    <w:abstractNumId w:val="44"/>
  </w:num>
  <w:num w:numId="8" w16cid:durableId="1945190024">
    <w:abstractNumId w:val="19"/>
  </w:num>
  <w:num w:numId="9" w16cid:durableId="1122185646">
    <w:abstractNumId w:val="39"/>
  </w:num>
  <w:num w:numId="10" w16cid:durableId="527328973">
    <w:abstractNumId w:val="26"/>
  </w:num>
  <w:num w:numId="11" w16cid:durableId="516970879">
    <w:abstractNumId w:val="7"/>
  </w:num>
  <w:num w:numId="12" w16cid:durableId="1020351522">
    <w:abstractNumId w:val="14"/>
  </w:num>
  <w:num w:numId="13" w16cid:durableId="1467309805">
    <w:abstractNumId w:val="36"/>
  </w:num>
  <w:num w:numId="14" w16cid:durableId="951936894">
    <w:abstractNumId w:val="28"/>
  </w:num>
  <w:num w:numId="15" w16cid:durableId="109858822">
    <w:abstractNumId w:val="41"/>
  </w:num>
  <w:num w:numId="16" w16cid:durableId="2032222879">
    <w:abstractNumId w:val="29"/>
  </w:num>
  <w:num w:numId="17" w16cid:durableId="1770394271">
    <w:abstractNumId w:val="48"/>
  </w:num>
  <w:num w:numId="18" w16cid:durableId="1214998911">
    <w:abstractNumId w:val="4"/>
  </w:num>
  <w:num w:numId="19" w16cid:durableId="351614000">
    <w:abstractNumId w:val="10"/>
  </w:num>
  <w:num w:numId="20" w16cid:durableId="1193154818">
    <w:abstractNumId w:val="30"/>
  </w:num>
  <w:num w:numId="21" w16cid:durableId="890312121">
    <w:abstractNumId w:val="54"/>
  </w:num>
  <w:num w:numId="22" w16cid:durableId="926426991">
    <w:abstractNumId w:val="45"/>
  </w:num>
  <w:num w:numId="23" w16cid:durableId="60295049">
    <w:abstractNumId w:val="25"/>
  </w:num>
  <w:num w:numId="24" w16cid:durableId="220285817">
    <w:abstractNumId w:val="40"/>
  </w:num>
  <w:num w:numId="25" w16cid:durableId="1279800814">
    <w:abstractNumId w:val="46"/>
  </w:num>
  <w:num w:numId="26" w16cid:durableId="1129477574">
    <w:abstractNumId w:val="31"/>
  </w:num>
  <w:num w:numId="27" w16cid:durableId="622466258">
    <w:abstractNumId w:val="32"/>
  </w:num>
  <w:num w:numId="28" w16cid:durableId="390613949">
    <w:abstractNumId w:val="53"/>
  </w:num>
  <w:num w:numId="29" w16cid:durableId="881552410">
    <w:abstractNumId w:val="24"/>
  </w:num>
  <w:num w:numId="30" w16cid:durableId="1576403455">
    <w:abstractNumId w:val="17"/>
  </w:num>
  <w:num w:numId="31" w16cid:durableId="687296390">
    <w:abstractNumId w:val="8"/>
  </w:num>
  <w:num w:numId="32" w16cid:durableId="1315065711">
    <w:abstractNumId w:val="50"/>
  </w:num>
  <w:num w:numId="33" w16cid:durableId="1500853272">
    <w:abstractNumId w:val="22"/>
  </w:num>
  <w:num w:numId="34" w16cid:durableId="849299245">
    <w:abstractNumId w:val="3"/>
  </w:num>
  <w:num w:numId="35" w16cid:durableId="1252393998">
    <w:abstractNumId w:val="6"/>
  </w:num>
  <w:num w:numId="36" w16cid:durableId="20558857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6"/>
  </w:num>
  <w:num w:numId="38" w16cid:durableId="1219626818">
    <w:abstractNumId w:val="23"/>
  </w:num>
  <w:num w:numId="39" w16cid:durableId="780412830">
    <w:abstractNumId w:val="49"/>
  </w:num>
  <w:num w:numId="40" w16cid:durableId="213660396">
    <w:abstractNumId w:val="0"/>
  </w:num>
  <w:num w:numId="41" w16cid:durableId="1414814857">
    <w:abstractNumId w:val="42"/>
  </w:num>
  <w:num w:numId="42" w16cid:durableId="163474363">
    <w:abstractNumId w:val="11"/>
  </w:num>
  <w:num w:numId="43" w16cid:durableId="1313832893">
    <w:abstractNumId w:val="1"/>
  </w:num>
  <w:num w:numId="44" w16cid:durableId="625702438">
    <w:abstractNumId w:val="5"/>
  </w:num>
  <w:num w:numId="45" w16cid:durableId="1618171133">
    <w:abstractNumId w:val="34"/>
  </w:num>
  <w:num w:numId="46" w16cid:durableId="356272959">
    <w:abstractNumId w:val="12"/>
  </w:num>
  <w:num w:numId="47" w16cid:durableId="839465285">
    <w:abstractNumId w:val="15"/>
  </w:num>
  <w:num w:numId="48" w16cid:durableId="51466313">
    <w:abstractNumId w:val="37"/>
  </w:num>
  <w:num w:numId="49" w16cid:durableId="1253976426">
    <w:abstractNumId w:val="33"/>
  </w:num>
  <w:num w:numId="50" w16cid:durableId="1290940135">
    <w:abstractNumId w:val="38"/>
  </w:num>
  <w:num w:numId="51" w16cid:durableId="1912739147">
    <w:abstractNumId w:val="9"/>
  </w:num>
  <w:num w:numId="52" w16cid:durableId="403770525">
    <w:abstractNumId w:val="52"/>
  </w:num>
  <w:num w:numId="53" w16cid:durableId="1192182018">
    <w:abstractNumId w:val="21"/>
  </w:num>
  <w:num w:numId="54" w16cid:durableId="1995179594">
    <w:abstractNumId w:val="51"/>
  </w:num>
  <w:num w:numId="55" w16cid:durableId="2080249411">
    <w:abstractNumId w:val="13"/>
  </w:num>
  <w:num w:numId="56" w16cid:durableId="938101771">
    <w:abstractNumId w:val="2"/>
  </w:num>
  <w:num w:numId="57" w16cid:durableId="625622961">
    <w:abstractNumId w:val="4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3818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80C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01C4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1344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2078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3DB6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3EA2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6272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285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1883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2024-03-21T13:43:00Z</dcterms:created>
  <dcterms:modified xsi:type="dcterms:W3CDTF">2024-04-24T07:08:00Z</dcterms:modified>
</cp:coreProperties>
</file>