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53ADD1E4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9700EF">
        <w:rPr>
          <w:rFonts w:ascii="Times New Roman" w:hAnsi="Times New Roman"/>
          <w:b/>
          <w:sz w:val="24"/>
          <w:szCs w:val="24"/>
          <w:lang w:val="it-IT"/>
        </w:rPr>
        <w:t>I AUDITIT TË BRENDSHËM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zbatim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nenit </w:t>
      </w:r>
      <w:r>
        <w:rPr>
          <w:rFonts w:ascii="Times New Roman" w:hAnsi="Times New Roman"/>
          <w:sz w:val="24"/>
          <w:szCs w:val="24"/>
        </w:rPr>
        <w:t>22 dhe 25 t</w:t>
      </w:r>
      <w:r w:rsidR="00D84ED5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ligjit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r w:rsidR="00533164" w:rsidRPr="002A3FE7">
        <w:rPr>
          <w:rFonts w:ascii="Times New Roman" w:hAnsi="Times New Roman"/>
          <w:i/>
          <w:sz w:val="24"/>
          <w:szCs w:val="24"/>
        </w:rPr>
        <w:t>Për nëpunësin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i ndryshuar, </w:t>
      </w:r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 dhe kreut II, III, IV dhe V,</w:t>
      </w:r>
      <w:r w:rsidR="007064EC">
        <w:rPr>
          <w:rFonts w:ascii="Times New Roman" w:hAnsi="Times New Roman"/>
          <w:sz w:val="24"/>
          <w:szCs w:val="24"/>
        </w:rPr>
        <w:t xml:space="preserve"> të </w:t>
      </w:r>
      <w:r w:rsidRPr="0021362A">
        <w:rPr>
          <w:rFonts w:ascii="Times New Roman" w:hAnsi="Times New Roman"/>
          <w:sz w:val="24"/>
          <w:szCs w:val="24"/>
        </w:rPr>
        <w:t>Vendimit nr.243 dat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18.03.2015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Ministrave </w:t>
      </w:r>
      <w:r>
        <w:rPr>
          <w:rFonts w:ascii="Times New Roman" w:hAnsi="Times New Roman"/>
          <w:sz w:val="24"/>
          <w:szCs w:val="24"/>
        </w:rPr>
        <w:t>“</w:t>
      </w:r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pranimin, 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 paralele, 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e 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dhe 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 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kategorin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ekzekutive</w:t>
      </w:r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>Bashkia Roskovec</w:t>
      </w:r>
      <w:r w:rsidR="00533164" w:rsidRPr="00B27DFE">
        <w:rPr>
          <w:rFonts w:ascii="Times New Roman" w:hAnsi="Times New Roman"/>
          <w:sz w:val="24"/>
          <w:szCs w:val="24"/>
        </w:rPr>
        <w:t xml:space="preserve"> shpall </w:t>
      </w:r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 xml:space="preserve">t e lëvizjes paralele dhe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pranimit në </w:t>
      </w:r>
      <w:r w:rsidR="00533164" w:rsidRPr="00B27DFE">
        <w:rPr>
          <w:rFonts w:ascii="Times New Roman" w:hAnsi="Times New Roman"/>
          <w:sz w:val="24"/>
          <w:szCs w:val="24"/>
        </w:rPr>
        <w:t xml:space="preserve">shërbimin civil për pozicionin: </w:t>
      </w:r>
    </w:p>
    <w:p w14:paraId="0A6608F2" w14:textId="2D6D54F1" w:rsidR="006B3FDB" w:rsidRDefault="002110DE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</w:t>
      </w:r>
      <w:r w:rsidR="00010D60">
        <w:rPr>
          <w:rFonts w:ascii="Times New Roman" w:hAnsi="Times New Roman" w:cs="Times New Roman"/>
          <w:b/>
          <w:bCs/>
          <w:sz w:val="24"/>
          <w:szCs w:val="24"/>
          <w:lang w:val="it-IT"/>
        </w:rPr>
        <w:t>e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B1AE9">
        <w:rPr>
          <w:rFonts w:ascii="Times New Roman" w:hAnsi="Times New Roman" w:cs="Times New Roman"/>
          <w:b/>
          <w:bCs/>
          <w:sz w:val="24"/>
          <w:szCs w:val="24"/>
          <w:lang w:val="it-IT"/>
        </w:rPr>
        <w:t>i Auditit të Brendshëm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B1AE9">
        <w:rPr>
          <w:rFonts w:ascii="Times New Roman" w:hAnsi="Times New Roman"/>
          <w:sz w:val="24"/>
          <w:szCs w:val="24"/>
        </w:rPr>
        <w:t>Sektorin e Auditit të Brendshëm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Kategoria e pagës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i 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më sipër, u ofrohen fillimisht nëpunësve civilë të së njëjtës kategori për procedurën e lëvizjes paralele! Vetëm në rast se 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pozicion, në përfundim të procedurës së lëvizjes paralele, rezulton ende vakant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të vlefshme për konkurrimin nëpërmjet procedurës së 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>pranimit 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Shërbimin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7DFE">
        <w:rPr>
          <w:rFonts w:ascii="Times New Roman" w:eastAsia="MS Mincho" w:hAnsi="Times New Roman"/>
          <w:b/>
          <w:sz w:val="24"/>
          <w:szCs w:val="24"/>
        </w:rPr>
        <w:t xml:space="preserve">Për të dy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t (lëvizje paralele dhe </w:t>
      </w:r>
      <w:r w:rsidR="00EA79C4">
        <w:rPr>
          <w:rFonts w:ascii="Times New Roman" w:eastAsia="MS Mincho" w:hAnsi="Times New Roman"/>
          <w:b/>
          <w:sz w:val="24"/>
          <w:szCs w:val="24"/>
        </w:rPr>
        <w:t>pranimin në shërbimin civil</w:t>
      </w:r>
      <w:r w:rsidRPr="00B27DFE">
        <w:rPr>
          <w:rFonts w:ascii="Times New Roman" w:eastAsia="MS Mincho" w:hAnsi="Times New Roman"/>
          <w:b/>
          <w:sz w:val="24"/>
          <w:szCs w:val="24"/>
        </w:rPr>
        <w:t>) aplikohet në të njëjtën kohë!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052A603" w14:textId="5907F703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0624B3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0624B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0624B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8942490" w14:textId="1044884E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0624B3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0624B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0624B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2A45D0DA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 xml:space="preserve">Përshkrimi përgjithësues i punës për pozicionin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9B1AE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i Auditit të Brendshëm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6C2D667B" w14:textId="77777777" w:rsidR="00CA7270" w:rsidRPr="00CA7270" w:rsidRDefault="00CA7270" w:rsidP="00CA72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sq-AL"/>
          <w14:ligatures w14:val="standardContextual"/>
        </w:rPr>
      </w:pPr>
      <w:r w:rsidRPr="00CA7270">
        <w:rPr>
          <w:rFonts w:ascii="Times New Roman" w:eastAsia="Times New Roman" w:hAnsi="Times New Roman"/>
          <w:sz w:val="24"/>
          <w:szCs w:val="24"/>
          <w14:ligatures w14:val="standardContextual"/>
        </w:rPr>
        <w:t>Është nëpunës civil në varësi të Përgjegjësit të sektorit. Detyrat dhe përgjegjësitë e tij janë:</w:t>
      </w:r>
    </w:p>
    <w:p w14:paraId="3741F6CD" w14:textId="7CDE56CE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Vler</w:t>
      </w:r>
      <w:bookmarkStart w:id="0" w:name="_Hlk161928461"/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ëson përshtatshmërinë dhe efektivitetin e sistemeve, strukturave, vendimeve, procedurave e kontrolleve;</w:t>
      </w:r>
    </w:p>
    <w:p w14:paraId="78A5EAD7" w14:textId="1A9B52B0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Mbështet njësinë publike në menaxhimin e sistemit financiar dhe kontrollit, në përgjithësi, duke u fokusuar kryesisht në: identifikimin, vlerësimin dhe menaxhimin e riskut nga titullari i njësisë publike;përputhshmërinë e akteve të brendshme dhe të kontratave me legjislacionin;besueshmërinë dhe gjithë-përfshirjen e informacionit financiar dhe operacional.</w:t>
      </w:r>
    </w:p>
    <w:p w14:paraId="102F33A4" w14:textId="4CD8DAF4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 xml:space="preserve">Ruajtjen e aseteve dhe të informacionit; </w:t>
      </w:r>
    </w:p>
    <w:p w14:paraId="7DDCE607" w14:textId="0D5454AB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 xml:space="preserve">Përmbushjen e detyrave dhe arritjen e qëllimeve; </w:t>
      </w:r>
    </w:p>
    <w:p w14:paraId="1E719760" w14:textId="77777777" w:rsidR="009B1AE9" w:rsidRPr="009B1AE9" w:rsidRDefault="009B1AE9" w:rsidP="009B1AE9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Dhënien e rekomandimeve për përmirësimin e veprimtarive të njësive publike.</w:t>
      </w:r>
    </w:p>
    <w:p w14:paraId="06C90908" w14:textId="77777777" w:rsidR="009B1AE9" w:rsidRPr="009B1AE9" w:rsidRDefault="009B1AE9" w:rsidP="009B1AE9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 xml:space="preserve">Mbështetjen e angazhimeve/kryerja e detyrave të veçanta të auditimit për dhënien e shërbimeve të sigurisë ose të shërbimeve të konsulencës; </w:t>
      </w:r>
    </w:p>
    <w:p w14:paraId="696C327F" w14:textId="77777777" w:rsidR="009B1AE9" w:rsidRPr="009B1AE9" w:rsidRDefault="009B1AE9" w:rsidP="009B1AE9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Dhënien e vlerësimeve objektive, opinioneve ose përfundimeve të pavarura për një proces, sistem ose një çështje tjetër që mbulohet nga auditimi.</w:t>
      </w:r>
    </w:p>
    <w:p w14:paraId="76DA33FC" w14:textId="77777777" w:rsidR="009B1AE9" w:rsidRPr="009B1AE9" w:rsidRDefault="009B1AE9" w:rsidP="009B1AE9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Të respektojë në çdo rast dhe rrethanë gjatë kryerjes së detyrës kodin etiko-moral të nëpunësit civil dhe kodin etiko-moral të audituesit.</w:t>
      </w:r>
    </w:p>
    <w:p w14:paraId="2C09426F" w14:textId="77777777" w:rsidR="009B1AE9" w:rsidRPr="009B1AE9" w:rsidRDefault="009B1AE9" w:rsidP="009B1AE9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Të njihet me të gjithë dokumentacionin që ka të bëjë me veprimtarinë a çështjen që do të auditohet.</w:t>
      </w:r>
    </w:p>
    <w:p w14:paraId="7A4667C6" w14:textId="77777777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10. Të marrë nga personat zyrtarë dhe punonjësit e tjerë të dhëna të domosdoshme me shkrim dhe me gojë qe lidhen me kryerjen e auditimit ekonomiko-financiar.</w:t>
      </w:r>
    </w:p>
    <w:p w14:paraId="7A0813C2" w14:textId="77777777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11. Të vulosë arka dhe agjensi, depo e magazina, në raste të domosdoshme e kur ka të dhëna për falsifikime ose veprimtari të tjera të paligjshme, të tërheqë dokumentat e nevojshme, duke lëshuar vërtetimin përkatës.</w:t>
      </w:r>
    </w:p>
    <w:p w14:paraId="22EAEAFF" w14:textId="77777777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12. Të pezullojë veprimet e paligjshme, deri në shqyrtimin nga organi më i lartë nga varet subjekti i audituar.</w:t>
      </w:r>
    </w:p>
    <w:p w14:paraId="2945F34F" w14:textId="77777777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13.Të mbajë procesverbal, aktverifikim, sipas rregullave të përcaktuara në aktet ligjore për këtë fushë, duke njoftuar në moment eprorët.</w:t>
      </w:r>
    </w:p>
    <w:p w14:paraId="7B93D9CA" w14:textId="77777777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14.Të propozojë masa disiplinore, gjoba, ndjekje penale sipas rastit që paraqitet.</w:t>
      </w:r>
    </w:p>
    <w:p w14:paraId="72170E25" w14:textId="77777777" w:rsidR="009B1AE9" w:rsidRPr="009B1AE9" w:rsidRDefault="009B1AE9" w:rsidP="009B1A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</w:pPr>
      <w:r w:rsidRPr="009B1AE9">
        <w:rPr>
          <w:rFonts w:ascii="Times New Roman" w:eastAsia="Times New Roman" w:hAnsi="Times New Roman"/>
          <w:color w:val="0D0D0D"/>
          <w:sz w:val="24"/>
          <w:szCs w:val="24"/>
          <w:lang w:val="it-IT"/>
          <w14:ligatures w14:val="standardContextual"/>
        </w:rPr>
        <w:t>15.Të përgatisë të gjitha dokumentat që duhen konform standarteve dhe metodikave në fuqi të auditimit, për evadimin dhe plotësimin e dosjes së çdo auditimi të kryer, dorëzimin e saj në përfundim sipas rregullave të miratuara në arkivën Njësisë së Auditimit të Brendshëm.</w:t>
      </w:r>
    </w:p>
    <w:bookmarkEnd w:id="0"/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>
        <w:rPr>
          <w:rFonts w:ascii="Times New Roman" w:hAnsi="Times New Roman"/>
          <w:b/>
          <w:sz w:val="24"/>
          <w:szCs w:val="24"/>
        </w:rPr>
        <w:t>lëvizjes paralele</w:t>
      </w:r>
      <w:r w:rsidRPr="00B27DFE">
        <w:rPr>
          <w:rFonts w:ascii="Times New Roman" w:hAnsi="Times New Roman"/>
          <w:b/>
          <w:sz w:val="24"/>
          <w:szCs w:val="24"/>
        </w:rPr>
        <w:t xml:space="preserve"> janë: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B27DFE">
        <w:rPr>
          <w:rFonts w:ascii="Times New Roman" w:hAnsi="Times New Roman"/>
          <w:sz w:val="24"/>
          <w:szCs w:val="24"/>
        </w:rPr>
        <w:t xml:space="preserve"> konfirm</w:t>
      </w:r>
      <w:r w:rsidR="00A97E29">
        <w:rPr>
          <w:rFonts w:ascii="Times New Roman" w:hAnsi="Times New Roman"/>
          <w:sz w:val="24"/>
          <w:szCs w:val="24"/>
        </w:rPr>
        <w:t>uar, brenda së njëjtës kategori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B27DFE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B27DFE">
        <w:rPr>
          <w:rFonts w:ascii="Times New Roman" w:hAnsi="Times New Roman"/>
          <w:sz w:val="24"/>
          <w:szCs w:val="24"/>
        </w:rPr>
        <w:t>rtetuar me një dokument nga institucioni);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B27DFE">
        <w:rPr>
          <w:rFonts w:ascii="Times New Roman" w:hAnsi="Times New Roman"/>
          <w:sz w:val="24"/>
          <w:szCs w:val="24"/>
        </w:rPr>
        <w:t>ë të paktën vlerësim</w:t>
      </w:r>
      <w:r w:rsidR="007064EC">
        <w:rPr>
          <w:rFonts w:ascii="Times New Roman" w:hAnsi="Times New Roman"/>
          <w:sz w:val="24"/>
          <w:szCs w:val="24"/>
        </w:rPr>
        <w:t>in e fundit “Mir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 apo “Shum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 xml:space="preserve"> 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r w:rsidRPr="00591F25">
        <w:rPr>
          <w:rFonts w:ascii="Times New Roman" w:hAnsi="Times New Roman"/>
          <w:b/>
          <w:sz w:val="24"/>
          <w:szCs w:val="24"/>
        </w:rPr>
        <w:lastRenderedPageBreak/>
        <w:t>Kandidatët duhet të plotësojnë kriteret e veçanta si vijon:</w:t>
      </w:r>
    </w:p>
    <w:p w14:paraId="4FF241C7" w14:textId="5B2EC9B9" w:rsidR="00591F25" w:rsidRPr="00F529DE" w:rsidRDefault="00F529DE" w:rsidP="00F52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val="sq-AL"/>
        </w:rPr>
      </w:pPr>
      <w:bookmarkStart w:id="1" w:name="_Hlk161927206"/>
      <w:r w:rsidRPr="00F529DE">
        <w:rPr>
          <w:rFonts w:ascii="Times New Roman" w:hAnsi="Times New Roman"/>
          <w:sz w:val="24"/>
          <w:szCs w:val="24"/>
          <w:lang w:val="sq-AL"/>
        </w:rPr>
        <w:t>Të zotërojë Diplomë Universitare të nivelit  minimal</w:t>
      </w:r>
      <w:r w:rsidR="00CA727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CA7270" w:rsidRPr="00601DF9">
        <w:rPr>
          <w:rFonts w:ascii="Times New Roman" w:hAnsi="Times New Roman"/>
          <w:sz w:val="24"/>
          <w:szCs w:val="24"/>
          <w:lang w:val="it-IT" w:eastAsia="ru-RU"/>
        </w:rPr>
        <w:t xml:space="preserve">“Bachelor”, në </w:t>
      </w:r>
      <w:r w:rsidR="00CA7270">
        <w:rPr>
          <w:rFonts w:ascii="Times New Roman" w:hAnsi="Times New Roman"/>
          <w:sz w:val="24"/>
          <w:szCs w:val="24"/>
          <w:lang w:val="it-IT" w:eastAsia="ru-RU"/>
        </w:rPr>
        <w:t>degët e</w:t>
      </w:r>
      <w:r w:rsidR="009B1AE9" w:rsidRPr="009B1AE9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9B1AE9">
        <w:rPr>
          <w:rFonts w:ascii="Times New Roman" w:hAnsi="Times New Roman"/>
          <w:sz w:val="24"/>
          <w:szCs w:val="24"/>
          <w:lang w:val="it-IT" w:eastAsia="ru-RU"/>
        </w:rPr>
        <w:t>Drejtesisë, Ekonomisë, Financës</w:t>
      </w:r>
      <w:r w:rsidR="00CA727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9C69C5" w:rsidRPr="00F529DE">
        <w:rPr>
          <w:rFonts w:ascii="Times New Roman" w:eastAsia="Times New Roman" w:hAnsi="Times New Roman"/>
          <w:sz w:val="28"/>
          <w:szCs w:val="28"/>
          <w:lang w:val="sq-AL"/>
        </w:rPr>
        <w:t xml:space="preserve">. </w:t>
      </w:r>
      <w:bookmarkEnd w:id="1"/>
      <w:r w:rsidR="00212778" w:rsidRPr="00F529DE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F529DE"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</w:t>
      </w:r>
      <w:r w:rsidR="00591F25" w:rsidRPr="00F529DE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F529DE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</w:t>
      </w:r>
      <w:r w:rsidR="008958DB">
        <w:rPr>
          <w:rFonts w:ascii="Times New Roman" w:hAnsi="Times New Roman"/>
          <w:color w:val="000000"/>
          <w:sz w:val="24"/>
          <w:szCs w:val="24"/>
        </w:rPr>
        <w:t>pune mbi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Letër motivimi për aplikim në vendin vakant.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 xml:space="preserve">Një kopje të jetëshkrimit.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Nje numër kontakti dhe adresën e plotë të vendbanimit.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e diplomës.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 aplikanti disponon një diplomë të një universiteti të huaj duhet ta ketë të njesuar pranë Ministrisë së Arsimit.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 e listës së notave. N</w:t>
      </w:r>
      <w:r w:rsidRPr="00814588">
        <w:rPr>
          <w:rFonts w:ascii="Times New Roman" w:hAnsi="Times New Roman"/>
          <w:sz w:val="24"/>
          <w:szCs w:val="24"/>
        </w:rPr>
        <w:t>ëse ka një diplomë dhe listë notash të ndryshme me vlerësimin e njohur në Shtetin Shqiptar, aplikanti duhet ta ketë të konvertuar</w:t>
      </w:r>
      <w:r>
        <w:rPr>
          <w:rFonts w:ascii="Times New Roman" w:hAnsi="Times New Roman"/>
          <w:sz w:val="24"/>
          <w:szCs w:val="24"/>
        </w:rPr>
        <w:t xml:space="preserve"> atë sipas sistemit shqiptar.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një vleresimi vjetor.</w:t>
      </w:r>
    </w:p>
    <w:p w14:paraId="552ACB54" w14:textId="75BF2275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aktit të konfirmimit të Statusit të nëpunësit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 të librezës së punës</w:t>
      </w:r>
      <w:r>
        <w:rPr>
          <w:rFonts w:ascii="Times New Roman" w:hAnsi="Times New Roman"/>
          <w:sz w:val="24"/>
          <w:szCs w:val="24"/>
        </w:rPr>
        <w:t xml:space="preserve"> e plotësuar</w:t>
      </w:r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Çertifikata ose dëshmi të kualifikimeve, trajnimeve të ndryshme.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</w:t>
      </w:r>
      <w:r>
        <w:rPr>
          <w:rFonts w:ascii="Times New Roman" w:hAnsi="Times New Roman"/>
          <w:sz w:val="24"/>
          <w:szCs w:val="24"/>
        </w:rPr>
        <w:t xml:space="preserve"> e letërnjoftimit</w:t>
      </w:r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 të gjendjes gjyqësore</w:t>
      </w:r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gjëndjes shëndetsore;</w:t>
      </w:r>
    </w:p>
    <w:p w14:paraId="5ACEF16E" w14:textId="6536CC75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B27DFE">
        <w:rPr>
          <w:rFonts w:ascii="Times New Roman" w:hAnsi="Times New Roman"/>
          <w:b/>
          <w:i/>
          <w:sz w:val="24"/>
          <w:szCs w:val="24"/>
        </w:rPr>
        <w:t xml:space="preserve"> duhet të dorëzohen në institucion, brenda </w:t>
      </w:r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0624B3">
        <w:rPr>
          <w:rFonts w:ascii="Times New Roman" w:hAnsi="Times New Roman"/>
          <w:b/>
          <w:i/>
          <w:sz w:val="24"/>
          <w:szCs w:val="24"/>
        </w:rPr>
        <w:t>07/05/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0624B3">
        <w:rPr>
          <w:rFonts w:ascii="Times New Roman" w:hAnsi="Times New Roman"/>
          <w:b/>
          <w:i/>
          <w:sz w:val="24"/>
          <w:szCs w:val="24"/>
        </w:rPr>
        <w:t>4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56295C5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0624B3">
        <w:rPr>
          <w:rFonts w:ascii="Times New Roman" w:hAnsi="Times New Roman"/>
          <w:b/>
          <w:sz w:val="24"/>
          <w:szCs w:val="24"/>
        </w:rPr>
        <w:t>09/05/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0624B3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7202B4">
        <w:rPr>
          <w:rFonts w:ascii="Times New Roman" w:hAnsi="Times New Roman"/>
          <w:sz w:val="24"/>
          <w:szCs w:val="24"/>
        </w:rPr>
        <w:t>Shërbimi Kombëtar i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 xml:space="preserve">istën e kandidatëve që plotësojnë kushtet e lëvizjes paralele dhe kriteret e veçanta.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lastRenderedPageBreak/>
        <w:t xml:space="preserve">Në të njëjtën datë kandidatët që nuk i plotësojnë kushtet e lëvizjes paralele dhe kriteret e veçanta do të njoftohen individualisht nga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3 (tr</w:t>
      </w:r>
      <w:r w:rsidR="00B37BCA">
        <w:rPr>
          <w:rFonts w:ascii="Times New Roman" w:hAnsi="Times New Roman"/>
          <w:sz w:val="24"/>
          <w:szCs w:val="24"/>
        </w:rPr>
        <w:t>e</w:t>
      </w:r>
      <w:r w:rsidRPr="00E53F1F">
        <w:rPr>
          <w:rFonts w:ascii="Times New Roman" w:hAnsi="Times New Roman"/>
          <w:sz w:val="24"/>
          <w:szCs w:val="24"/>
        </w:rPr>
        <w:t xml:space="preserve">) ditëve kalendarike nga data e njoftimit individual, paraqesin ankesat me shkrim pranë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paraqitjes së tyre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1652834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Nr.152/2013 “Për nëpunësin civil” i ndryshuar dhe aktet nënligjore në zbatim të tij;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Nr.9131, datë 08.09.2003 “Për rregullat e etikës në administratën publike”;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 drejtën e informimit” i ndryshuar</w:t>
      </w:r>
    </w:p>
    <w:p w14:paraId="5E0C97B9" w14:textId="77777777" w:rsidR="009B1AE9" w:rsidRPr="009B1AE9" w:rsidRDefault="0096180C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Nr.44/2015 “Kodi i procedurave administrative i Republikës së Shqipëris</w:t>
      </w:r>
      <w:bookmarkEnd w:id="2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285F597B" w14:textId="77777777" w:rsidR="009B1AE9" w:rsidRPr="009B1AE9" w:rsidRDefault="009B1AE9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1AE9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 xml:space="preserve">Ligjin nr.114/2015 “Për auditimin e brendshëm në sektorin publik” i ndryshuar, Manualin e auditimit të brendshëm, </w:t>
      </w:r>
    </w:p>
    <w:p w14:paraId="1B8171BE" w14:textId="77777777" w:rsidR="009B1AE9" w:rsidRPr="009B1AE9" w:rsidRDefault="009B1AE9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1AE9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 xml:space="preserve">V.K.M nr. 86 datë 03.02.2016 “Për Miratimin e kritereve të krijimit të njësisë së auditimit të brendshëm në sektorin publik, </w:t>
      </w:r>
    </w:p>
    <w:p w14:paraId="204C6250" w14:textId="49AD617A" w:rsidR="009B1AE9" w:rsidRPr="009B1AE9" w:rsidRDefault="009B1AE9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1AE9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>Rregulloren e Bashkisë Roskovec, si dhe rregulloren e njësisë së auditimit, miratuar nga titullari i bashkisë.</w:t>
      </w:r>
    </w:p>
    <w:p w14:paraId="6485409D" w14:textId="77777777" w:rsidR="009C69C5" w:rsidRPr="00847364" w:rsidRDefault="009C69C5" w:rsidP="009C69C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 do të vlerësohen për përvojë</w:t>
      </w:r>
      <w:r w:rsidRPr="00B27DFE">
        <w:rPr>
          <w:rFonts w:ascii="Times New Roman" w:hAnsi="Times New Roman"/>
          <w:sz w:val="24"/>
          <w:szCs w:val="24"/>
        </w:rPr>
        <w:t>n, trajnimet apo kualifikimet e lidhura me fushën, si dhe çertifikimin pozitiv. Totali i pikëve p</w:t>
      </w:r>
      <w:r>
        <w:rPr>
          <w:rFonts w:ascii="Times New Roman" w:hAnsi="Times New Roman"/>
          <w:sz w:val="24"/>
          <w:szCs w:val="24"/>
        </w:rPr>
        <w:t xml:space="preserve">ër këtë vlerësim është 40 pikë, </w:t>
      </w:r>
      <w:r w:rsidRPr="00E53F1F">
        <w:rPr>
          <w:rFonts w:ascii="Times New Roman" w:hAnsi="Times New Roman"/>
          <w:sz w:val="24"/>
          <w:szCs w:val="24"/>
        </w:rPr>
        <w:t>i ndarë në: 20 pikë përvojë, 10 pikë për trajnime apo kualifikime të lidhura me fushën përkatëse dhe 10 pikë për certifikimin pozitiv ose për vlerësimet e rezultateve individuale në punë, në rastet kur procesi i certifikimit nuk është kryer</w:t>
      </w:r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8F783E">
        <w:rPr>
          <w:rFonts w:ascii="Times New Roman" w:hAnsi="Times New Roman"/>
          <w:sz w:val="24"/>
          <w:szCs w:val="24"/>
        </w:rPr>
        <w:t>Kandidatët gjatë intervistës së strukturuar me gojë do të vlerësohet me 60 pikë.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r w:rsidRPr="008F783E">
        <w:rPr>
          <w:rFonts w:ascii="Times New Roman" w:hAnsi="Times New Roman"/>
          <w:b/>
          <w:sz w:val="24"/>
          <w:szCs w:val="24"/>
        </w:rPr>
        <w:t xml:space="preserve">Totali i pikëve është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pikë.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Për datën dhe vendin e 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 xml:space="preserve">t kandidatët do të njoftohen nga </w:t>
      </w:r>
      <w:r w:rsidR="00570BAA">
        <w:rPr>
          <w:rFonts w:ascii="Times New Roman" w:hAnsi="Times New Roman"/>
          <w:sz w:val="24"/>
          <w:szCs w:val="24"/>
        </w:rPr>
        <w:t>Njësia e Menaxhimit të Burimeve Njerëzore të Bashkisë Roskovec</w:t>
      </w:r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</w:rPr>
        <w:t xml:space="preserve">Njësia e Menaxhimit të Burimeve Njerëzore e </w:t>
      </w:r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 xml:space="preserve">së </w:t>
      </w:r>
      <w:r w:rsidR="00A23360">
        <w:rPr>
          <w:rFonts w:ascii="Times New Roman" w:hAnsi="Times New Roman"/>
          <w:sz w:val="24"/>
          <w:szCs w:val="24"/>
        </w:rPr>
        <w:t xml:space="preserve">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fituesin në </w:t>
      </w:r>
      <w:r w:rsidR="00A23360">
        <w:rPr>
          <w:rFonts w:ascii="Times New Roman" w:hAnsi="Times New Roman"/>
          <w:sz w:val="24"/>
          <w:szCs w:val="24"/>
        </w:rPr>
        <w:t>Faqen Zyrtare të Bashkisë Roskovec</w:t>
      </w:r>
      <w:r>
        <w:rPr>
          <w:rFonts w:ascii="Times New Roman" w:hAnsi="Times New Roman"/>
          <w:sz w:val="24"/>
          <w:szCs w:val="24"/>
        </w:rPr>
        <w:t xml:space="preserve"> dhe në </w:t>
      </w:r>
      <w:r w:rsidRPr="00B27DFE">
        <w:rPr>
          <w:rFonts w:ascii="Times New Roman" w:hAnsi="Times New Roman"/>
          <w:sz w:val="24"/>
          <w:szCs w:val="24"/>
        </w:rPr>
        <w:t>portalin</w:t>
      </w:r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r w:rsidRPr="00B27DFE">
        <w:rPr>
          <w:rFonts w:ascii="Times New Roman" w:hAnsi="Times New Roman"/>
          <w:sz w:val="24"/>
          <w:szCs w:val="24"/>
        </w:rPr>
        <w:t xml:space="preserve">Të gjithë kandidatët pjesëmarrës në këtë </w:t>
      </w:r>
      <w:r>
        <w:rPr>
          <w:rFonts w:ascii="Times New Roman" w:hAnsi="Times New Roman"/>
          <w:sz w:val="24"/>
          <w:szCs w:val="24"/>
        </w:rPr>
        <w:t>procedurë</w:t>
      </w:r>
      <w:r w:rsidRPr="00B27DFE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Pranimi </w:t>
      </w:r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>Shërbimin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 në rast se 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publikuar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 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shpallje, në përfundim të procedurës së lëvizjes paralele, rezulton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 vakant, 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pozicion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jetë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m për konkurim nëpërmjet procedurës së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 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255B">
        <w:rPr>
          <w:rFonts w:ascii="Times New Roman" w:hAnsi="Times New Roman"/>
          <w:b/>
          <w:i/>
          <w:sz w:val="24"/>
          <w:szCs w:val="24"/>
        </w:rPr>
        <w:t xml:space="preserve">Për këtë </w:t>
      </w:r>
      <w:r>
        <w:rPr>
          <w:rFonts w:ascii="Times New Roman" w:hAnsi="Times New Roman"/>
          <w:b/>
          <w:i/>
          <w:sz w:val="24"/>
          <w:szCs w:val="24"/>
        </w:rPr>
        <w:t>procedurë</w:t>
      </w:r>
      <w:r w:rsidRPr="007E255B">
        <w:rPr>
          <w:rFonts w:ascii="Times New Roman" w:hAnsi="Times New Roman"/>
          <w:b/>
          <w:i/>
          <w:sz w:val="24"/>
          <w:szCs w:val="24"/>
        </w:rPr>
        <w:t xml:space="preserve"> kanë të drejtë të aplikojnë të gjithë </w:t>
      </w:r>
      <w:r w:rsidR="0046413F">
        <w:rPr>
          <w:rFonts w:ascii="Times New Roman" w:hAnsi="Times New Roman"/>
          <w:b/>
          <w:i/>
          <w:sz w:val="24"/>
          <w:szCs w:val="24"/>
        </w:rPr>
        <w:t xml:space="preserve">personat që janë jashtë </w:t>
      </w:r>
      <w:r w:rsidR="00610964">
        <w:rPr>
          <w:rFonts w:ascii="Times New Roman" w:hAnsi="Times New Roman"/>
          <w:b/>
          <w:i/>
          <w:sz w:val="24"/>
          <w:szCs w:val="24"/>
        </w:rPr>
        <w:t>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 w:rsidR="007C2C2F">
        <w:rPr>
          <w:rFonts w:ascii="Times New Roman" w:hAnsi="Times New Roman"/>
          <w:b/>
          <w:sz w:val="24"/>
          <w:szCs w:val="24"/>
        </w:rPr>
        <w:t>Pranimi në Shërbimin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shtetas shqiptar;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plot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vepruar;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shqipe,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shkruar dhe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folur;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kushte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 lejojn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kryej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i 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 me vendim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s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prer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 nj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krimi apo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 xml:space="preserve"> 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 penale me dashje;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Ndaj tij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marr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masa disiplinore e largimit nga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 civil,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nuk 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shuar sipas ligjit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56EC21DD" w14:textId="4368F381" w:rsidR="006C307B" w:rsidRPr="001D0907" w:rsidRDefault="009B1AE9" w:rsidP="009C69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F529DE">
        <w:rPr>
          <w:rFonts w:ascii="Times New Roman" w:hAnsi="Times New Roman"/>
          <w:sz w:val="24"/>
          <w:szCs w:val="24"/>
          <w:lang w:val="sq-AL"/>
        </w:rPr>
        <w:t>Të zotërojë Diplomë Universitare të nivelit  minimal</w:t>
      </w:r>
      <w:r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01DF9">
        <w:rPr>
          <w:rFonts w:ascii="Times New Roman" w:hAnsi="Times New Roman"/>
          <w:sz w:val="24"/>
          <w:szCs w:val="24"/>
          <w:lang w:val="it-IT" w:eastAsia="ru-RU"/>
        </w:rPr>
        <w:t xml:space="preserve">“Bachelor”, në </w:t>
      </w:r>
      <w:r>
        <w:rPr>
          <w:rFonts w:ascii="Times New Roman" w:hAnsi="Times New Roman"/>
          <w:sz w:val="24"/>
          <w:szCs w:val="24"/>
          <w:lang w:val="it-IT" w:eastAsia="ru-RU"/>
        </w:rPr>
        <w:t>degët e</w:t>
      </w:r>
      <w:r w:rsidRPr="009B1AE9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it-IT" w:eastAsia="ru-RU"/>
        </w:rPr>
        <w:t>Drejtesisë, Ekonomisë, Financës</w:t>
      </w:r>
      <w:r w:rsidR="00CA7270" w:rsidRPr="00F529DE">
        <w:rPr>
          <w:rFonts w:ascii="Times New Roman" w:eastAsia="Times New Roman" w:hAnsi="Times New Roman"/>
          <w:sz w:val="28"/>
          <w:szCs w:val="28"/>
          <w:lang w:val="sq-AL"/>
        </w:rPr>
        <w:t xml:space="preserve">.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të </w:t>
      </w:r>
      <w:r w:rsidR="006C307B" w:rsidRPr="001D0907">
        <w:rPr>
          <w:rFonts w:ascii="Times New Roman" w:hAnsi="Times New Roman"/>
          <w:i/>
          <w:sz w:val="24"/>
          <w:szCs w:val="24"/>
        </w:rPr>
        <w:t>cilat janë marrë jashtë vendit, duhet të jenë të njohura paraprakisht pranë institucionit përgjegjës për njehsimin e diplomave sipas legjislacionit në fuqi</w:t>
      </w:r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pune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Kandidatët që aplikojnë duhet të dorëzojnë </w:t>
      </w:r>
      <w:r>
        <w:rPr>
          <w:rFonts w:ascii="Times New Roman" w:hAnsi="Times New Roman"/>
          <w:sz w:val="24"/>
          <w:szCs w:val="24"/>
        </w:rPr>
        <w:t>dokumentet</w:t>
      </w:r>
      <w:r w:rsidRPr="00B27DFE">
        <w:rPr>
          <w:rFonts w:ascii="Times New Roman" w:hAnsi="Times New Roman"/>
          <w:sz w:val="24"/>
          <w:szCs w:val="24"/>
        </w:rPr>
        <w:t xml:space="preserve"> si më poshtë: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</w:t>
      </w:r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 dokumentacion tjetër që vërteton trajnimet, kualifikimet, arsimim shtesë, vlerësimet pozitive apo të tjera të përmendura në jetëshkrimin tuaj;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letërnjoftimit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</w:t>
      </w:r>
      <w:r w:rsidRPr="00B27DFE">
        <w:rPr>
          <w:rFonts w:ascii="Times New Roman" w:hAnsi="Times New Roman"/>
          <w:sz w:val="24"/>
          <w:szCs w:val="24"/>
        </w:rPr>
        <w:t>ndjes shëndetësore;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Vetëdeklarim të gjë</w:t>
      </w:r>
      <w:r w:rsidRPr="00B27DFE">
        <w:rPr>
          <w:rFonts w:ascii="Times New Roman" w:hAnsi="Times New Roman"/>
          <w:sz w:val="24"/>
          <w:szCs w:val="24"/>
        </w:rPr>
        <w:t xml:space="preserve">ndjes gjyqësore.  </w:t>
      </w:r>
    </w:p>
    <w:p w14:paraId="008E1BA7" w14:textId="786276A9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r w:rsidRPr="00E22E43">
        <w:rPr>
          <w:rFonts w:ascii="Times New Roman" w:hAnsi="Times New Roman"/>
          <w:b/>
          <w:i/>
          <w:szCs w:val="24"/>
        </w:rPr>
        <w:t>Dokumentet duhet të dorëzohen në institucion</w:t>
      </w:r>
      <w:r w:rsidR="00A23360">
        <w:rPr>
          <w:rFonts w:ascii="Times New Roman" w:hAnsi="Times New Roman"/>
          <w:b/>
          <w:i/>
          <w:szCs w:val="24"/>
        </w:rPr>
        <w:t>in e Bashkisë Roskovec</w:t>
      </w:r>
      <w:r w:rsidRPr="00E22E43">
        <w:rPr>
          <w:rFonts w:ascii="Times New Roman" w:hAnsi="Times New Roman"/>
          <w:b/>
          <w:i/>
          <w:szCs w:val="24"/>
        </w:rPr>
        <w:t xml:space="preserve">, brenda datës </w:t>
      </w:r>
      <w:r w:rsidR="000624B3">
        <w:rPr>
          <w:rFonts w:ascii="Times New Roman" w:hAnsi="Times New Roman"/>
          <w:b/>
          <w:i/>
          <w:szCs w:val="24"/>
        </w:rPr>
        <w:t>12/05/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0624B3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32552343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0624B3">
        <w:rPr>
          <w:rFonts w:ascii="Times New Roman" w:hAnsi="Times New Roman"/>
          <w:b/>
          <w:sz w:val="24"/>
          <w:szCs w:val="24"/>
        </w:rPr>
        <w:t>28/05/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0624B3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</w:t>
      </w:r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>istën e kandidatëve që plotësojnë kushtet e lëvizjes paralele dhe kriteret e veçanta</w:t>
      </w:r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të njëjtën datë kandidatët që nuk i plotësojnë kushtet e lëvizjes paralele dhe kriteret e veçanta do të njoftohen individualisht nga</w:t>
      </w:r>
      <w:r w:rsidR="00770357">
        <w:rPr>
          <w:rFonts w:ascii="Times New Roman" w:hAnsi="Times New Roman"/>
          <w:sz w:val="24"/>
          <w:szCs w:val="24"/>
        </w:rPr>
        <w:t xml:space="preserve"> 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5 (pesë) ditëve kalendarike, nga data e njoftimit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paraqesin ankesat me shkrim pranë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depozitimit të ankesës.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“Për nëpunësin civil” i ndryshuar dhe aktet nënligjore në zbatim të tij;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r.9131, datë 08.09.2003 “Për rregullat e etikës në administratën publike”;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 e informimit”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ndryshuar</w:t>
      </w:r>
    </w:p>
    <w:p w14:paraId="1C16435E" w14:textId="77777777" w:rsidR="009B1AE9" w:rsidRPr="009B1AE9" w:rsidRDefault="00C55C8B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r.44/2015 “Kodi i procedurave administrative i Republikës së Shqipëris</w:t>
      </w:r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5D340329" w14:textId="77777777" w:rsidR="009B1AE9" w:rsidRPr="009B1AE9" w:rsidRDefault="009B1AE9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1AE9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 xml:space="preserve">Ligjin nr.114/2015 “Për auditimin e brendshëm në sektorin publik” i ndryshuar, Manualin e auditimit të brendshëm, </w:t>
      </w:r>
    </w:p>
    <w:p w14:paraId="5CF7D01A" w14:textId="77777777" w:rsidR="009B1AE9" w:rsidRPr="009B1AE9" w:rsidRDefault="009B1AE9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1AE9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 xml:space="preserve">V.K.M nr. 86 datë 03.02.2016 “Për Miratimin e kritereve të krijimit të njësisë së auditimit të brendshëm në sektorin publik, </w:t>
      </w:r>
    </w:p>
    <w:p w14:paraId="2A3B18E0" w14:textId="12521661" w:rsidR="00CA7270" w:rsidRPr="009B1AE9" w:rsidRDefault="009B1AE9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1AE9">
        <w:rPr>
          <w:rFonts w:ascii="Times New Roman" w:eastAsiaTheme="minorHAnsi" w:hAnsi="Times New Roman"/>
          <w:color w:val="0D0D0D" w:themeColor="text1" w:themeTint="F2"/>
          <w:sz w:val="24"/>
          <w:szCs w:val="24"/>
          <w:lang w:val="it-IT"/>
        </w:rPr>
        <w:t>Rregulloren e Bashkisë Roskovec, si dhe rregulloren e njësisë së auditimit, miratuar nga titullari i bashkisë.</w:t>
      </w:r>
    </w:p>
    <w:p w14:paraId="17C462AE" w14:textId="77777777" w:rsidR="00CA7270" w:rsidRPr="00CA7270" w:rsidRDefault="00CA7270" w:rsidP="00CA727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r w:rsidR="00BE1514" w:rsidRPr="00E53F1F">
        <w:rPr>
          <w:rFonts w:ascii="Times New Roman" w:hAnsi="Times New Roman"/>
          <w:sz w:val="24"/>
          <w:szCs w:val="24"/>
        </w:rPr>
        <w:t xml:space="preserve">Komiteti </w:t>
      </w:r>
      <w:r w:rsidR="00BE1514">
        <w:rPr>
          <w:rFonts w:ascii="Times New Roman" w:hAnsi="Times New Roman"/>
          <w:sz w:val="24"/>
          <w:szCs w:val="24"/>
        </w:rPr>
        <w:t xml:space="preserve">i Përhershëm i </w:t>
      </w:r>
      <w:r w:rsidR="00BE1514" w:rsidRPr="00E53F1F">
        <w:rPr>
          <w:rFonts w:ascii="Times New Roman" w:hAnsi="Times New Roman"/>
          <w:sz w:val="24"/>
          <w:szCs w:val="24"/>
        </w:rPr>
        <w:t>Pranimit</w:t>
      </w:r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r w:rsidR="003466C4" w:rsidRPr="00E53F1F">
        <w:rPr>
          <w:rFonts w:ascii="Times New Roman" w:hAnsi="Times New Roman"/>
          <w:sz w:val="24"/>
          <w:szCs w:val="24"/>
        </w:rPr>
        <w:t>për dokumentacionin e dorëzuar</w:t>
      </w:r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pikë për intervistën e strukturuar me gojë;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>0 pikë për vlerësimin me shkrim.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njoftojë ata individualisht në mënyrë elektronike për rezultatet (nëpërmjet adresës së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shpallë fituesin në faqen zyrtare dhe në portalin “Shërbimi Kombëtar i Punësimit”.</w:t>
      </w:r>
    </w:p>
    <w:p w14:paraId="61C57EEE" w14:textId="036A85BB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 gjithë kandidatët që aplikojnë për procedurën e ngritjes në detyrë, do të marrin informacion në faqen e Bashkise Roskovec, për fazat e mëtejshme të kësaj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për datën e daljes së rezultateve të verifikimit paraprak;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datën, vendin dhe orën ku do të zhvillohet konkurimi;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Për të marrë këtë informacion, kandidatët duhet të vizitojnë në mënyrë të vazhdueshme faqen e Bashkise Roskovec duke filluar nga data: </w:t>
      </w:r>
      <w:r w:rsidR="000624B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0624B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0624B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4030A9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6F5E3" w14:textId="77777777" w:rsidR="004030A9" w:rsidRDefault="004030A9" w:rsidP="00386E9F">
      <w:pPr>
        <w:spacing w:after="0" w:line="240" w:lineRule="auto"/>
      </w:pPr>
      <w:r>
        <w:separator/>
      </w:r>
    </w:p>
  </w:endnote>
  <w:endnote w:type="continuationSeparator" w:id="0">
    <w:p w14:paraId="30A85BD5" w14:textId="77777777" w:rsidR="004030A9" w:rsidRDefault="004030A9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50F71" w14:textId="77777777" w:rsidR="004030A9" w:rsidRDefault="004030A9" w:rsidP="00386E9F">
      <w:pPr>
        <w:spacing w:after="0" w:line="240" w:lineRule="auto"/>
      </w:pPr>
      <w:r>
        <w:separator/>
      </w:r>
    </w:p>
  </w:footnote>
  <w:footnote w:type="continuationSeparator" w:id="0">
    <w:p w14:paraId="23955DE2" w14:textId="77777777" w:rsidR="004030A9" w:rsidRDefault="004030A9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500"/>
    <w:multiLevelType w:val="hybridMultilevel"/>
    <w:tmpl w:val="75385942"/>
    <w:lvl w:ilvl="0" w:tplc="E8E06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1162E"/>
    <w:multiLevelType w:val="hybridMultilevel"/>
    <w:tmpl w:val="30D000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53D32"/>
    <w:multiLevelType w:val="hybridMultilevel"/>
    <w:tmpl w:val="0F4AD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71E7D"/>
    <w:multiLevelType w:val="hybridMultilevel"/>
    <w:tmpl w:val="958463EE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C461BF"/>
    <w:multiLevelType w:val="hybridMultilevel"/>
    <w:tmpl w:val="2556D8E8"/>
    <w:lvl w:ilvl="0" w:tplc="ECC61AB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B9624E8"/>
    <w:multiLevelType w:val="hybridMultilevel"/>
    <w:tmpl w:val="3C82AFEE"/>
    <w:lvl w:ilvl="0" w:tplc="146A8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F1573A"/>
    <w:multiLevelType w:val="hybridMultilevel"/>
    <w:tmpl w:val="0D84E22C"/>
    <w:lvl w:ilvl="0" w:tplc="FE12A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2C8C2D2">
      <w:start w:val="1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BB42194"/>
    <w:multiLevelType w:val="hybridMultilevel"/>
    <w:tmpl w:val="8BC69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50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224902"/>
    <w:multiLevelType w:val="hybridMultilevel"/>
    <w:tmpl w:val="4982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304C1E"/>
    <w:multiLevelType w:val="multilevel"/>
    <w:tmpl w:val="753E63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6F3511FA"/>
    <w:multiLevelType w:val="hybridMultilevel"/>
    <w:tmpl w:val="AC72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59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7"/>
  </w:num>
  <w:num w:numId="2" w16cid:durableId="10382358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20"/>
  </w:num>
  <w:num w:numId="4" w16cid:durableId="2049600190">
    <w:abstractNumId w:val="38"/>
  </w:num>
  <w:num w:numId="5" w16cid:durableId="1598906998">
    <w:abstractNumId w:val="22"/>
  </w:num>
  <w:num w:numId="6" w16cid:durableId="113058763">
    <w:abstractNumId w:val="30"/>
  </w:num>
  <w:num w:numId="7" w16cid:durableId="1228570257">
    <w:abstractNumId w:val="48"/>
  </w:num>
  <w:num w:numId="8" w16cid:durableId="1945190024">
    <w:abstractNumId w:val="21"/>
  </w:num>
  <w:num w:numId="9" w16cid:durableId="1122185646">
    <w:abstractNumId w:val="43"/>
  </w:num>
  <w:num w:numId="10" w16cid:durableId="527328973">
    <w:abstractNumId w:val="29"/>
  </w:num>
  <w:num w:numId="11" w16cid:durableId="516970879">
    <w:abstractNumId w:val="8"/>
  </w:num>
  <w:num w:numId="12" w16cid:durableId="1020351522">
    <w:abstractNumId w:val="16"/>
  </w:num>
  <w:num w:numId="13" w16cid:durableId="1467309805">
    <w:abstractNumId w:val="39"/>
  </w:num>
  <w:num w:numId="14" w16cid:durableId="951936894">
    <w:abstractNumId w:val="31"/>
  </w:num>
  <w:num w:numId="15" w16cid:durableId="109858822">
    <w:abstractNumId w:val="45"/>
  </w:num>
  <w:num w:numId="16" w16cid:durableId="2032222879">
    <w:abstractNumId w:val="32"/>
  </w:num>
  <w:num w:numId="17" w16cid:durableId="1770394271">
    <w:abstractNumId w:val="54"/>
  </w:num>
  <w:num w:numId="18" w16cid:durableId="1214998911">
    <w:abstractNumId w:val="5"/>
  </w:num>
  <w:num w:numId="19" w16cid:durableId="351614000">
    <w:abstractNumId w:val="12"/>
  </w:num>
  <w:num w:numId="20" w16cid:durableId="1193154818">
    <w:abstractNumId w:val="33"/>
  </w:num>
  <w:num w:numId="21" w16cid:durableId="890312121">
    <w:abstractNumId w:val="60"/>
  </w:num>
  <w:num w:numId="22" w16cid:durableId="926426991">
    <w:abstractNumId w:val="49"/>
  </w:num>
  <w:num w:numId="23" w16cid:durableId="60295049">
    <w:abstractNumId w:val="28"/>
  </w:num>
  <w:num w:numId="24" w16cid:durableId="220285817">
    <w:abstractNumId w:val="44"/>
  </w:num>
  <w:num w:numId="25" w16cid:durableId="1279800814">
    <w:abstractNumId w:val="50"/>
  </w:num>
  <w:num w:numId="26" w16cid:durableId="1129477574">
    <w:abstractNumId w:val="34"/>
  </w:num>
  <w:num w:numId="27" w16cid:durableId="622466258">
    <w:abstractNumId w:val="35"/>
  </w:num>
  <w:num w:numId="28" w16cid:durableId="390613949">
    <w:abstractNumId w:val="59"/>
  </w:num>
  <w:num w:numId="29" w16cid:durableId="881552410">
    <w:abstractNumId w:val="27"/>
  </w:num>
  <w:num w:numId="30" w16cid:durableId="1576403455">
    <w:abstractNumId w:val="19"/>
  </w:num>
  <w:num w:numId="31" w16cid:durableId="687296390">
    <w:abstractNumId w:val="9"/>
  </w:num>
  <w:num w:numId="32" w16cid:durableId="1315065711">
    <w:abstractNumId w:val="56"/>
  </w:num>
  <w:num w:numId="33" w16cid:durableId="1500853272">
    <w:abstractNumId w:val="25"/>
  </w:num>
  <w:num w:numId="34" w16cid:durableId="849299245">
    <w:abstractNumId w:val="3"/>
  </w:num>
  <w:num w:numId="35" w16cid:durableId="1252393998">
    <w:abstractNumId w:val="7"/>
  </w:num>
  <w:num w:numId="36" w16cid:durableId="2055885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8"/>
  </w:num>
  <w:num w:numId="38" w16cid:durableId="1219626818">
    <w:abstractNumId w:val="26"/>
  </w:num>
  <w:num w:numId="39" w16cid:durableId="780412830">
    <w:abstractNumId w:val="55"/>
  </w:num>
  <w:num w:numId="40" w16cid:durableId="213660396">
    <w:abstractNumId w:val="0"/>
  </w:num>
  <w:num w:numId="41" w16cid:durableId="1414814857">
    <w:abstractNumId w:val="46"/>
  </w:num>
  <w:num w:numId="42" w16cid:durableId="163474363">
    <w:abstractNumId w:val="13"/>
  </w:num>
  <w:num w:numId="43" w16cid:durableId="1313832893">
    <w:abstractNumId w:val="1"/>
  </w:num>
  <w:num w:numId="44" w16cid:durableId="625702438">
    <w:abstractNumId w:val="6"/>
  </w:num>
  <w:num w:numId="45" w16cid:durableId="1618171133">
    <w:abstractNumId w:val="37"/>
  </w:num>
  <w:num w:numId="46" w16cid:durableId="356272959">
    <w:abstractNumId w:val="14"/>
  </w:num>
  <w:num w:numId="47" w16cid:durableId="839465285">
    <w:abstractNumId w:val="17"/>
  </w:num>
  <w:num w:numId="48" w16cid:durableId="51466313">
    <w:abstractNumId w:val="40"/>
  </w:num>
  <w:num w:numId="49" w16cid:durableId="1253976426">
    <w:abstractNumId w:val="36"/>
  </w:num>
  <w:num w:numId="50" w16cid:durableId="1290940135">
    <w:abstractNumId w:val="42"/>
  </w:num>
  <w:num w:numId="51" w16cid:durableId="1912739147">
    <w:abstractNumId w:val="11"/>
  </w:num>
  <w:num w:numId="52" w16cid:durableId="403770525">
    <w:abstractNumId w:val="58"/>
  </w:num>
  <w:num w:numId="53" w16cid:durableId="1192182018">
    <w:abstractNumId w:val="24"/>
  </w:num>
  <w:num w:numId="54" w16cid:durableId="1995179594">
    <w:abstractNumId w:val="57"/>
  </w:num>
  <w:num w:numId="55" w16cid:durableId="2080249411">
    <w:abstractNumId w:val="15"/>
  </w:num>
  <w:num w:numId="56" w16cid:durableId="938101771">
    <w:abstractNumId w:val="2"/>
  </w:num>
  <w:num w:numId="57" w16cid:durableId="625622961">
    <w:abstractNumId w:val="51"/>
  </w:num>
  <w:num w:numId="58" w16cid:durableId="581837786">
    <w:abstractNumId w:val="53"/>
  </w:num>
  <w:num w:numId="59" w16cid:durableId="815225219">
    <w:abstractNumId w:val="4"/>
  </w:num>
  <w:num w:numId="60" w16cid:durableId="1464695822">
    <w:abstractNumId w:val="10"/>
  </w:num>
  <w:num w:numId="61" w16cid:durableId="184296353">
    <w:abstractNumId w:val="41"/>
  </w:num>
  <w:num w:numId="62" w16cid:durableId="1907688522">
    <w:abstractNumId w:val="52"/>
  </w:num>
  <w:num w:numId="63" w16cid:durableId="1214610673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24B3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10DE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B6A93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67CE"/>
    <w:rsid w:val="003F7746"/>
    <w:rsid w:val="0040057F"/>
    <w:rsid w:val="00402B42"/>
    <w:rsid w:val="004030A9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2CF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6614D"/>
    <w:rsid w:val="0067274D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6E50"/>
    <w:rsid w:val="00717BC1"/>
    <w:rsid w:val="007202B4"/>
    <w:rsid w:val="007233BB"/>
    <w:rsid w:val="0072690D"/>
    <w:rsid w:val="00733931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364"/>
    <w:rsid w:val="00847ABB"/>
    <w:rsid w:val="00851DA2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0FC6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00EF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1AE9"/>
    <w:rsid w:val="009B3962"/>
    <w:rsid w:val="009B3DE0"/>
    <w:rsid w:val="009B4A49"/>
    <w:rsid w:val="009B4D66"/>
    <w:rsid w:val="009B5960"/>
    <w:rsid w:val="009C5681"/>
    <w:rsid w:val="009C69C5"/>
    <w:rsid w:val="009D0080"/>
    <w:rsid w:val="009D0BCA"/>
    <w:rsid w:val="009D44C4"/>
    <w:rsid w:val="009E0156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22A1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A7270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529DE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2024-03-21T14:52:00Z</dcterms:created>
  <dcterms:modified xsi:type="dcterms:W3CDTF">2024-04-23T12:43:00Z</dcterms:modified>
</cp:coreProperties>
</file>