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30EEA1EC" w14:textId="77777777" w:rsidR="00F15F43" w:rsidRDefault="00F15F43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204315AE" w14:textId="6BAC2155" w:rsidR="00CF46E9" w:rsidRDefault="00CF46E9" w:rsidP="0027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B897DD" w14:textId="77777777" w:rsidR="00EB35AA" w:rsidRDefault="00EB35AA" w:rsidP="00243D1E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4D0ABFC3" w14:textId="77777777" w:rsidR="00243D1E" w:rsidRDefault="00243D1E" w:rsidP="00243D1E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2D67C3B" w14:textId="77777777" w:rsidR="00243D1E" w:rsidRDefault="00EB35AA" w:rsidP="00243D1E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</w:t>
      </w:r>
    </w:p>
    <w:p w14:paraId="3432D2C9" w14:textId="0968C9DD" w:rsidR="00243D1E" w:rsidRDefault="00EB35AA" w:rsidP="00243D1E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PRANIM NË SHËRBIMIN CIVIL</w:t>
      </w:r>
    </w:p>
    <w:p w14:paraId="685B6011" w14:textId="1CCD4004" w:rsidR="00EB35AA" w:rsidRPr="002128DA" w:rsidRDefault="00EB35AA" w:rsidP="00243D1E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 NË KATEGORINË EKZEKUTIVE</w:t>
      </w:r>
    </w:p>
    <w:p w14:paraId="78CDC461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532DE14E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Kreut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</w:t>
      </w:r>
      <w:r w:rsidR="004E2BF7">
        <w:rPr>
          <w:rFonts w:ascii="Times New Roman" w:hAnsi="Times New Roman"/>
          <w:sz w:val="24"/>
          <w:szCs w:val="24"/>
        </w:rPr>
        <w:t>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0B5169FB" w14:textId="77777777" w:rsidR="00AB3D66" w:rsidRPr="00BA6B56" w:rsidRDefault="00AB3D66" w:rsidP="00EB35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C83AB92" w14:textId="55DA5573" w:rsidR="00994588" w:rsidRPr="006B40A4" w:rsidRDefault="00C020F3" w:rsidP="00994588">
      <w:p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94588">
        <w:rPr>
          <w:rFonts w:ascii="Times New Roman" w:hAnsi="Times New Roman"/>
          <w:b/>
          <w:bCs/>
          <w:sz w:val="24"/>
          <w:szCs w:val="24"/>
        </w:rPr>
        <w:t>1</w:t>
      </w:r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994588">
        <w:rPr>
          <w:rFonts w:ascii="Times New Roman" w:hAnsi="Times New Roman"/>
          <w:b/>
          <w:bCs/>
          <w:sz w:val="24"/>
          <w:szCs w:val="24"/>
        </w:rPr>
        <w:t>një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94588">
        <w:rPr>
          <w:rFonts w:ascii="Times New Roman" w:hAnsi="Times New Roman"/>
          <w:b/>
          <w:bCs/>
          <w:sz w:val="24"/>
          <w:szCs w:val="24"/>
        </w:rPr>
        <w:t>Teknologjis</w:t>
      </w:r>
      <w:r w:rsidR="00CA4605" w:rsidRPr="00994588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4588">
        <w:rPr>
          <w:rFonts w:ascii="Times New Roman" w:hAnsi="Times New Roman"/>
          <w:b/>
          <w:bCs/>
          <w:sz w:val="24"/>
          <w:szCs w:val="24"/>
        </w:rPr>
        <w:t>s</w:t>
      </w:r>
      <w:r w:rsidR="00CA4605" w:rsidRPr="00994588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4588">
        <w:rPr>
          <w:rFonts w:ascii="Times New Roman" w:hAnsi="Times New Roman"/>
          <w:b/>
          <w:bCs/>
          <w:sz w:val="24"/>
          <w:szCs w:val="24"/>
        </w:rPr>
        <w:t>Informacionit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Drejtorinë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Ekonomike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dhe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Shërbimeve</w:t>
      </w:r>
      <w:proofErr w:type="spellEnd"/>
      <w:r w:rsidR="00F071ED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994588">
        <w:rPr>
          <w:rFonts w:ascii="Times New Roman" w:hAnsi="Times New Roman"/>
          <w:b/>
          <w:bCs/>
          <w:sz w:val="24"/>
          <w:szCs w:val="24"/>
        </w:rPr>
        <w:t>Mbështetëse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pranë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Inspektorit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Lartë</w:t>
      </w:r>
      <w:proofErr w:type="spellEnd"/>
      <w:r w:rsidR="00093E2B" w:rsidRPr="00994588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994588">
        <w:rPr>
          <w:rFonts w:ascii="Times New Roman" w:hAnsi="Times New Roman"/>
          <w:b/>
          <w:bCs/>
          <w:sz w:val="24"/>
          <w:szCs w:val="24"/>
        </w:rPr>
        <w:t>Drejtësisë</w:t>
      </w:r>
      <w:proofErr w:type="spellEnd"/>
      <w:r w:rsidR="00AE7519" w:rsidRPr="00994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E2B" w:rsidRPr="00994588">
        <w:rPr>
          <w:rFonts w:ascii="Times New Roman" w:hAnsi="Times New Roman"/>
          <w:b/>
          <w:bCs/>
          <w:sz w:val="24"/>
          <w:szCs w:val="24"/>
        </w:rPr>
        <w:t>-</w:t>
      </w:r>
      <w:r w:rsidR="00994588" w:rsidRPr="00994588">
        <w:rPr>
          <w:rFonts w:ascii="Times New Roman" w:hAnsi="Times New Roman"/>
          <w:b/>
          <w:spacing w:val="-5"/>
          <w:sz w:val="24"/>
          <w:szCs w:val="24"/>
          <w:lang w:val="sq-AL"/>
        </w:rPr>
        <w:t xml:space="preserve"> </w:t>
      </w:r>
      <w:r w:rsidR="00994588" w:rsidRPr="006B40A4">
        <w:rPr>
          <w:rFonts w:ascii="Times New Roman" w:hAnsi="Times New Roman"/>
          <w:b/>
          <w:spacing w:val="-5"/>
          <w:sz w:val="24"/>
          <w:szCs w:val="24"/>
          <w:lang w:val="sq-AL"/>
        </w:rPr>
        <w:t>K</w:t>
      </w:r>
      <w:r w:rsidR="00994588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a</w:t>
      </w:r>
      <w:r w:rsidR="00994588" w:rsidRPr="006B40A4">
        <w:rPr>
          <w:rFonts w:ascii="Times New Roman" w:hAnsi="Times New Roman"/>
          <w:b/>
          <w:sz w:val="24"/>
          <w:szCs w:val="24"/>
          <w:lang w:val="sq-AL"/>
        </w:rPr>
        <w:t>te</w:t>
      </w:r>
      <w:r w:rsidR="00994588" w:rsidRPr="006B40A4">
        <w:rPr>
          <w:rFonts w:ascii="Times New Roman" w:hAnsi="Times New Roman"/>
          <w:b/>
          <w:spacing w:val="-1"/>
          <w:sz w:val="24"/>
          <w:szCs w:val="24"/>
          <w:lang w:val="sq-AL"/>
        </w:rPr>
        <w:t>g</w:t>
      </w:r>
      <w:r w:rsidR="00994588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o</w:t>
      </w:r>
      <w:r w:rsidR="00994588" w:rsidRPr="006B40A4">
        <w:rPr>
          <w:rFonts w:ascii="Times New Roman" w:hAnsi="Times New Roman"/>
          <w:b/>
          <w:sz w:val="24"/>
          <w:szCs w:val="24"/>
          <w:lang w:val="sq-AL"/>
        </w:rPr>
        <w:t>r</w:t>
      </w:r>
      <w:r w:rsidR="00994588" w:rsidRPr="006B40A4">
        <w:rPr>
          <w:rFonts w:ascii="Times New Roman" w:hAnsi="Times New Roman"/>
          <w:b/>
          <w:spacing w:val="-1"/>
          <w:sz w:val="24"/>
          <w:szCs w:val="24"/>
          <w:lang w:val="sq-AL"/>
        </w:rPr>
        <w:t>i</w:t>
      </w:r>
      <w:r w:rsidR="00994588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a</w:t>
      </w:r>
      <w:r w:rsidR="00994588" w:rsidRPr="006B40A4">
        <w:rPr>
          <w:rFonts w:ascii="Times New Roman" w:hAnsi="Times New Roman"/>
          <w:b/>
          <w:sz w:val="24"/>
          <w:szCs w:val="24"/>
          <w:lang w:val="sq-AL"/>
        </w:rPr>
        <w:t>:</w:t>
      </w:r>
      <w:r w:rsidR="00BA6B56">
        <w:rPr>
          <w:rFonts w:ascii="Times New Roman" w:hAnsi="Times New Roman"/>
          <w:b/>
          <w:sz w:val="24"/>
          <w:szCs w:val="24"/>
          <w:lang w:val="sq-AL"/>
        </w:rPr>
        <w:t xml:space="preserve">              </w:t>
      </w:r>
      <w:r w:rsidR="00994588" w:rsidRPr="006B40A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994588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I</w:t>
      </w:r>
      <w:r w:rsidR="00994588" w:rsidRPr="006B40A4">
        <w:rPr>
          <w:rFonts w:ascii="Times New Roman" w:hAnsi="Times New Roman"/>
          <w:b/>
          <w:spacing w:val="3"/>
          <w:sz w:val="24"/>
          <w:szCs w:val="24"/>
          <w:lang w:val="sq-AL"/>
        </w:rPr>
        <w:t>I</w:t>
      </w:r>
      <w:r w:rsidR="00994588">
        <w:rPr>
          <w:rFonts w:ascii="Times New Roman" w:hAnsi="Times New Roman"/>
          <w:b/>
          <w:spacing w:val="3"/>
          <w:sz w:val="24"/>
          <w:szCs w:val="24"/>
          <w:lang w:val="sq-AL"/>
        </w:rPr>
        <w:t>I</w:t>
      </w:r>
      <w:r w:rsidR="00994588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 xml:space="preserve">-b </w:t>
      </w:r>
      <w:r w:rsidR="004E2BF7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(e</w:t>
      </w:r>
      <w:r w:rsidR="00994588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 xml:space="preserve"> barazvlefshme me klasën </w:t>
      </w:r>
      <w:r w:rsidR="00994588">
        <w:rPr>
          <w:rFonts w:ascii="Times New Roman" w:hAnsi="Times New Roman"/>
          <w:b/>
          <w:spacing w:val="-2"/>
          <w:sz w:val="24"/>
          <w:szCs w:val="24"/>
          <w:lang w:val="sq-AL"/>
        </w:rPr>
        <w:t>IV</w:t>
      </w:r>
      <w:r w:rsidR="00994588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-1</w:t>
      </w:r>
      <w:r w:rsidR="00994588" w:rsidRPr="006B40A4">
        <w:rPr>
          <w:rStyle w:val="FootnoteReference"/>
          <w:rFonts w:ascii="Times New Roman" w:hAnsi="Times New Roman"/>
          <w:b/>
          <w:spacing w:val="-2"/>
          <w:sz w:val="24"/>
          <w:szCs w:val="24"/>
          <w:lang w:val="sq-AL"/>
        </w:rPr>
        <w:footnoteReference w:id="1"/>
      </w:r>
      <w:r w:rsidR="00994588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).</w:t>
      </w:r>
    </w:p>
    <w:p w14:paraId="05904F71" w14:textId="3259C38D" w:rsidR="002727F0" w:rsidRPr="00BA6B56" w:rsidRDefault="002727F0" w:rsidP="00994588">
      <w:pPr>
        <w:pStyle w:val="ListParagraph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BA6B56">
        <w:trPr>
          <w:trHeight w:val="1422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4C74877C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Pr="00BA6B56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16"/>
          <w:szCs w:val="16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39C695D3" w:rsidR="002727F0" w:rsidRPr="0093051F" w:rsidRDefault="00041E2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EE63FE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7C9804A" w14:textId="77777777" w:rsidR="00BA6B56" w:rsidRPr="004039DD" w:rsidRDefault="00BA6B56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3F589674" w:rsidR="002727F0" w:rsidRPr="0093051F" w:rsidRDefault="002B3F4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041E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6D3CF4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041E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6E240757" w14:textId="77777777" w:rsidR="00BA6B56" w:rsidRDefault="00BA6B56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</w:rPr>
      </w:pPr>
    </w:p>
    <w:p w14:paraId="07177D77" w14:textId="77777777" w:rsidR="00BA6B56" w:rsidRPr="00BA6B56" w:rsidRDefault="00BA6B56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1F29C" w14:textId="77777777" w:rsidR="002727F0" w:rsidRDefault="002727F0" w:rsidP="002727F0">
      <w:pPr>
        <w:pStyle w:val="ListParagraph"/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16852E14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line="260" w:lineRule="exact"/>
        <w:ind w:right="14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rameve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që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 në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ILD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14:paraId="0E4583DE" w14:textId="21C75C96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6" w:line="260" w:lineRule="exact"/>
        <w:ind w:right="14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Admin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stri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b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aza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ëna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riji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ruktu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funksion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rdo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atg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tatjeve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nd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shme 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ë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suar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imin, 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 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 e 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t;</w:t>
      </w:r>
    </w:p>
    <w:p w14:paraId="1BE0A3E2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4" w:line="260" w:lineRule="exact"/>
        <w:ind w:right="12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i,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jetit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LAN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ute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ka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ve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ap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o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pajisjeve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 të 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ra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ele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ktronike,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si dhe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rimi dhe 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onik;</w:t>
      </w:r>
    </w:p>
    <w:p w14:paraId="13FBCC7A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9" w:line="260" w:lineRule="exact"/>
        <w:ind w:right="12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Menaxhimi, administrimi dhe mirëmbajtja 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Windows Server, Active Directory dhe Exchange Server;</w:t>
      </w:r>
    </w:p>
    <w:p w14:paraId="3DE020B7" w14:textId="77777777" w:rsidR="00E53639" w:rsidRPr="00F658C6" w:rsidRDefault="00E53639" w:rsidP="00E53639">
      <w:pPr>
        <w:pStyle w:val="ListParagraph"/>
        <w:numPr>
          <w:ilvl w:val="0"/>
          <w:numId w:val="2"/>
        </w:numPr>
        <w:spacing w:line="280" w:lineRule="exact"/>
        <w:jc w:val="both"/>
        <w:rPr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stati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dry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shme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institucionit.</w:t>
      </w:r>
    </w:p>
    <w:p w14:paraId="02AF1703" w14:textId="77777777" w:rsidR="00043913" w:rsidRPr="00043913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AA9F348" w14:textId="77777777" w:rsidR="00CF02FA" w:rsidRPr="00E0748B" w:rsidRDefault="00CF02FA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proofErr w:type="gramStart"/>
      <w:r w:rsidRPr="006B4214">
        <w:rPr>
          <w:rFonts w:ascii="Times New Roman" w:hAnsi="Times New Roman"/>
          <w:sz w:val="24"/>
          <w:szCs w:val="24"/>
        </w:rPr>
        <w:t>);</w:t>
      </w:r>
      <w:proofErr w:type="gramEnd"/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  <w:proofErr w:type="gramEnd"/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2C76AB31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6B36584D" w14:textId="77777777" w:rsidR="0045530C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5530C">
        <w:rPr>
          <w:rFonts w:ascii="Times New Roman" w:hAnsi="Times New Roman"/>
          <w:sz w:val="24"/>
          <w:szCs w:val="24"/>
        </w:rPr>
        <w:t>(</w:t>
      </w:r>
      <w:r w:rsidR="0045530C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>).</w:t>
      </w:r>
    </w:p>
    <w:p w14:paraId="25FBE8C5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4C1D9952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40CFD9B9" w14:textId="63130688" w:rsidR="003B7B98" w:rsidRPr="00BA6B56" w:rsidRDefault="00E53639" w:rsidP="003B7B9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p w14:paraId="45DF2D06" w14:textId="77777777" w:rsidR="00BA6B56" w:rsidRDefault="00BA6B56" w:rsidP="00BA6B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F91529" w14:textId="77777777" w:rsidR="00BA6B56" w:rsidRPr="00BA6B56" w:rsidRDefault="00BA6B56" w:rsidP="00BA6B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40C35E10" w14:textId="6C3DA330" w:rsidR="000C7966" w:rsidRPr="00041E29" w:rsidRDefault="00000000" w:rsidP="00041E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376ED7C2" w14:textId="4DCD5C4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</w:t>
      </w:r>
      <w:r w:rsidR="002B350D">
        <w:rPr>
          <w:rFonts w:ascii="Times New Roman" w:hAnsi="Times New Roman"/>
          <w:sz w:val="24"/>
          <w:szCs w:val="24"/>
          <w:lang w:val="de-DE"/>
        </w:rPr>
        <w:t xml:space="preserve">për kandidatët në marrëdhënie pune </w:t>
      </w:r>
      <w:r w:rsidR="002B350D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2B350D">
        <w:rPr>
          <w:rFonts w:ascii="Times New Roman" w:hAnsi="Times New Roman"/>
          <w:sz w:val="24"/>
          <w:szCs w:val="24"/>
        </w:rPr>
        <w:t>mujori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B350D">
        <w:rPr>
          <w:rFonts w:ascii="Times New Roman" w:hAnsi="Times New Roman"/>
          <w:sz w:val="24"/>
          <w:szCs w:val="24"/>
        </w:rPr>
        <w:t>parë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B350D">
        <w:rPr>
          <w:rFonts w:ascii="Times New Roman" w:hAnsi="Times New Roman"/>
          <w:sz w:val="24"/>
          <w:szCs w:val="24"/>
        </w:rPr>
        <w:t>vitit</w:t>
      </w:r>
      <w:proofErr w:type="spellEnd"/>
      <w:r w:rsidR="002B350D">
        <w:rPr>
          <w:rFonts w:ascii="Times New Roman" w:hAnsi="Times New Roman"/>
          <w:sz w:val="24"/>
          <w:szCs w:val="24"/>
        </w:rPr>
        <w:t xml:space="preserve"> 2023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257FA0E" w14:textId="2D52EEBF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D097E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6F05A2B2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Toptani</w:t>
      </w:r>
      <w:proofErr w:type="gram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 </w:t>
      </w:r>
      <w:r w:rsidR="000C7966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bookmarkEnd w:id="0"/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041E29">
        <w:rPr>
          <w:rFonts w:ascii="Times New Roman" w:hAnsi="Times New Roman"/>
          <w:b/>
          <w:color w:val="FF0000"/>
          <w:sz w:val="24"/>
          <w:szCs w:val="24"/>
        </w:rPr>
        <w:t>05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041E29">
        <w:rPr>
          <w:rFonts w:ascii="Times New Roman" w:hAnsi="Times New Roman"/>
          <w:b/>
          <w:color w:val="FF0000"/>
          <w:sz w:val="24"/>
          <w:szCs w:val="24"/>
        </w:rPr>
        <w:t>11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23839E90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41E29" w:rsidRPr="00BA6B56">
        <w:rPr>
          <w:rFonts w:ascii="Times New Roman" w:hAnsi="Times New Roman"/>
          <w:b/>
          <w:i/>
          <w:iCs/>
          <w:color w:val="FF0000"/>
          <w:sz w:val="24"/>
          <w:szCs w:val="24"/>
        </w:rPr>
        <w:t>07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041E29">
        <w:rPr>
          <w:rFonts w:ascii="Times New Roman" w:hAnsi="Times New Roman"/>
          <w:b/>
          <w:i/>
          <w:color w:val="FF0000"/>
          <w:sz w:val="24"/>
          <w:szCs w:val="24"/>
        </w:rPr>
        <w:t>11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BA6B56" w:rsidRDefault="002727F0" w:rsidP="002727F0">
      <w:pPr>
        <w:jc w:val="both"/>
        <w:rPr>
          <w:rFonts w:ascii="Times New Roman" w:hAnsi="Times New Roman"/>
          <w:iCs/>
          <w:sz w:val="16"/>
          <w:szCs w:val="16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3350869D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376B2E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376B2E">
        <w:rPr>
          <w:rFonts w:ascii="Times New Roman" w:hAnsi="Times New Roman"/>
          <w:sz w:val="24"/>
          <w:szCs w:val="24"/>
          <w:lang w:val="sq-AL"/>
        </w:rPr>
        <w:t>jin nr. 115/20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or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 e q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>it të dr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3348F181" w14:textId="4F47486E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1065ABBF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nr.10325,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b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 e të d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ve sh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376B2E">
        <w:rPr>
          <w:rFonts w:ascii="Times New Roman" w:hAnsi="Times New Roman"/>
          <w:sz w:val="24"/>
          <w:szCs w:val="24"/>
          <w:lang w:val="sq-AL"/>
        </w:rPr>
        <w:t>;</w:t>
      </w:r>
    </w:p>
    <w:p w14:paraId="277A759C" w14:textId="747F810D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.10273,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të29.4.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nik”, i nd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376B2E">
        <w:rPr>
          <w:rFonts w:ascii="Times New Roman" w:hAnsi="Times New Roman"/>
          <w:sz w:val="24"/>
          <w:szCs w:val="24"/>
          <w:lang w:val="sq-AL"/>
        </w:rPr>
        <w:t>sh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="008F49BE">
        <w:rPr>
          <w:rFonts w:ascii="Times New Roman" w:hAnsi="Times New Roman"/>
          <w:sz w:val="24"/>
          <w:szCs w:val="24"/>
          <w:lang w:val="sq-AL"/>
        </w:rPr>
        <w:t>;</w:t>
      </w:r>
    </w:p>
    <w:p w14:paraId="09ABCAEE" w14:textId="6F522AA7" w:rsidR="00E53639" w:rsidRDefault="00E53639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.9918,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 19.5.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komun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ki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nike në</w:t>
      </w:r>
      <w:r w:rsidR="008F49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8F49BE">
        <w:rPr>
          <w:rFonts w:ascii="Times New Roman" w:hAnsi="Times New Roman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8F49BE">
        <w:rPr>
          <w:rFonts w:ascii="Times New Roman" w:hAnsi="Times New Roman"/>
          <w:sz w:val="24"/>
          <w:szCs w:val="24"/>
          <w:lang w:val="sq-AL"/>
        </w:rPr>
        <w:t>publ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8F49BE">
        <w:rPr>
          <w:rFonts w:ascii="Times New Roman" w:hAnsi="Times New Roman"/>
          <w:sz w:val="24"/>
          <w:szCs w:val="24"/>
          <w:lang w:val="sq-AL"/>
        </w:rPr>
        <w:t>k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8F49BE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8F49BE">
        <w:rPr>
          <w:rFonts w:ascii="Times New Roman" w:hAnsi="Times New Roman"/>
          <w:sz w:val="24"/>
          <w:szCs w:val="24"/>
          <w:lang w:val="sq-AL"/>
        </w:rPr>
        <w:t>hqipë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z w:val="24"/>
          <w:szCs w:val="24"/>
          <w:lang w:val="sq-AL"/>
        </w:rPr>
        <w:t>isë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8F49BE">
        <w:rPr>
          <w:rFonts w:ascii="Times New Roman" w:hAnsi="Times New Roman"/>
          <w:sz w:val="24"/>
          <w:szCs w:val="24"/>
          <w:lang w:val="sq-AL"/>
        </w:rPr>
        <w:t>, i nd</w:t>
      </w:r>
      <w:r w:rsidRPr="008F49B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8F49BE">
        <w:rPr>
          <w:rFonts w:ascii="Times New Roman" w:hAnsi="Times New Roman"/>
          <w:sz w:val="24"/>
          <w:szCs w:val="24"/>
          <w:lang w:val="sq-AL"/>
        </w:rPr>
        <w:t>shu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8F49BE">
        <w:rPr>
          <w:rFonts w:ascii="Times New Roman" w:hAnsi="Times New Roman"/>
          <w:sz w:val="24"/>
          <w:szCs w:val="24"/>
          <w:lang w:val="sq-AL"/>
        </w:rPr>
        <w:t>r;</w:t>
      </w:r>
    </w:p>
    <w:p w14:paraId="064D9DD9" w14:textId="408339D3" w:rsidR="001665B9" w:rsidRPr="008F49BE" w:rsidRDefault="001665B9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VKM </w:t>
      </w:r>
      <w:r w:rsidR="00F15F43">
        <w:rPr>
          <w:rFonts w:ascii="Times New Roman" w:hAnsi="Times New Roman"/>
          <w:sz w:val="24"/>
          <w:szCs w:val="24"/>
          <w:lang w:val="sq-AL"/>
        </w:rPr>
        <w:t>nr.</w:t>
      </w:r>
      <w:r>
        <w:rPr>
          <w:rFonts w:ascii="Times New Roman" w:hAnsi="Times New Roman"/>
          <w:sz w:val="24"/>
          <w:szCs w:val="24"/>
          <w:lang w:val="sq-AL"/>
        </w:rPr>
        <w:t>971, dat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02.12.2020 “P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miratimin e rregullave p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politikat e p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rgjithshme shtet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rore, p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sistemin e teknologjis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informacionit, p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sistemin e drejt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sis</w:t>
      </w:r>
      <w:r w:rsidR="00F15F4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="00F15F43">
        <w:rPr>
          <w:rFonts w:ascii="Times New Roman" w:hAnsi="Times New Roman"/>
          <w:sz w:val="24"/>
          <w:szCs w:val="24"/>
          <w:lang w:val="sq-AL"/>
        </w:rPr>
        <w:t>;</w:t>
      </w:r>
    </w:p>
    <w:p w14:paraId="1E94C70F" w14:textId="1DDC09AA" w:rsidR="00E53639" w:rsidRPr="00F15F43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1665B9">
        <w:rPr>
          <w:rFonts w:ascii="Times New Roman" w:hAnsi="Times New Roman"/>
          <w:sz w:val="24"/>
          <w:szCs w:val="24"/>
          <w:lang w:val="sq-AL"/>
        </w:rPr>
        <w:t>Njohu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1665B9">
        <w:rPr>
          <w:rFonts w:ascii="Times New Roman" w:hAnsi="Times New Roman"/>
          <w:sz w:val="24"/>
          <w:szCs w:val="24"/>
          <w:lang w:val="sq-AL"/>
        </w:rPr>
        <w:t>j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z w:val="24"/>
          <w:szCs w:val="24"/>
          <w:lang w:val="sq-AL"/>
        </w:rPr>
        <w:t>sla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1665B9">
        <w:rPr>
          <w:rFonts w:ascii="Times New Roman" w:hAnsi="Times New Roman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>ne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1665B9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fldChar w:fldCharType="begin"/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instrText>HYPERLINK "</w:instrText>
      </w:r>
      <w:r w:rsidR="003E2AD8" w:rsidRPr="003E2AD8">
        <w:rPr>
          <w:rFonts w:ascii="Times New Roman" w:hAnsi="Times New Roman"/>
          <w:spacing w:val="2"/>
          <w:sz w:val="24"/>
          <w:szCs w:val="24"/>
          <w:lang w:val="sq-AL"/>
        </w:rPr>
        <w:instrText>https://qti.al/wp-content/uploads/2022/01/LEGJISLACIONIMBIKRIMINKIBERNETIK.pdf</w:instrText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instrText>"</w:instrText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fldChar w:fldCharType="separate"/>
      </w:r>
      <w:r w:rsidR="003E2AD8" w:rsidRPr="00A70D0D">
        <w:rPr>
          <w:rStyle w:val="Hyperlink"/>
          <w:rFonts w:ascii="Times New Roman" w:hAnsi="Times New Roman"/>
          <w:spacing w:val="2"/>
          <w:sz w:val="24"/>
          <w:szCs w:val="24"/>
          <w:lang w:val="sq-AL"/>
        </w:rPr>
        <w:t>https://qti.al/wp-content/uploads/2022/01/LEGJISLACIONIMBIKRIMINKIBERNETIK.pdf</w:t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fldChar w:fldCharType="end"/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t>)</w:t>
      </w:r>
      <w:r w:rsidR="00F15F43">
        <w:rPr>
          <w:rFonts w:ascii="Times New Roman" w:hAnsi="Times New Roman"/>
          <w:spacing w:val="2"/>
          <w:sz w:val="24"/>
          <w:szCs w:val="24"/>
          <w:lang w:val="sq-AL"/>
        </w:rPr>
        <w:t>;</w:t>
      </w:r>
      <w:r w:rsidR="003E2AD8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</w:p>
    <w:p w14:paraId="14FBE064" w14:textId="77777777" w:rsidR="00F15F43" w:rsidRPr="001665B9" w:rsidRDefault="00F15F43" w:rsidP="00F15F43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lang w:val="sq-AL"/>
        </w:rPr>
      </w:pPr>
    </w:p>
    <w:p w14:paraId="4CA53F93" w14:textId="1AE2067A" w:rsidR="00E53639" w:rsidRPr="001665B9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1665B9">
        <w:rPr>
          <w:rFonts w:ascii="Times New Roman" w:hAnsi="Times New Roman"/>
          <w:sz w:val="24"/>
          <w:szCs w:val="24"/>
          <w:lang w:val="sq-AL"/>
        </w:rPr>
        <w:t>Njohuritë mbi Rre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1665B9">
        <w:rPr>
          <w:rFonts w:ascii="Times New Roman" w:hAnsi="Times New Roman"/>
          <w:sz w:val="24"/>
          <w:szCs w:val="24"/>
          <w:lang w:val="sq-AL"/>
        </w:rPr>
        <w:t>ul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1665B9">
        <w:rPr>
          <w:rFonts w:ascii="Times New Roman" w:hAnsi="Times New Roman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>en p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r p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rd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z w:val="24"/>
          <w:szCs w:val="24"/>
          <w:lang w:val="sq-AL"/>
        </w:rPr>
        <w:t>rimin e post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s el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1665B9">
        <w:rPr>
          <w:rFonts w:ascii="Times New Roman" w:hAnsi="Times New Roman"/>
          <w:sz w:val="24"/>
          <w:szCs w:val="24"/>
          <w:lang w:val="sq-AL"/>
        </w:rPr>
        <w:t>k</w:t>
      </w:r>
      <w:r w:rsidRPr="001665B9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>ronike në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1665B9">
        <w:rPr>
          <w:rFonts w:ascii="Times New Roman" w:hAnsi="Times New Roman"/>
          <w:sz w:val="24"/>
          <w:szCs w:val="24"/>
          <w:lang w:val="sq-AL"/>
        </w:rPr>
        <w:t>dm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z w:val="24"/>
          <w:szCs w:val="24"/>
          <w:lang w:val="sq-AL"/>
        </w:rPr>
        <w:t>nis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1665B9">
        <w:rPr>
          <w:rFonts w:ascii="Times New Roman" w:hAnsi="Times New Roman"/>
          <w:sz w:val="24"/>
          <w:szCs w:val="24"/>
          <w:lang w:val="sq-AL"/>
        </w:rPr>
        <w:t>tën publike</w:t>
      </w:r>
      <w:r w:rsidR="001665B9" w:rsidRPr="001665B9">
        <w:rPr>
          <w:rFonts w:ascii="Times New Roman" w:hAnsi="Times New Roman"/>
          <w:sz w:val="24"/>
          <w:szCs w:val="24"/>
          <w:lang w:val="sq-AL"/>
        </w:rPr>
        <w:t>:</w:t>
      </w:r>
    </w:p>
    <w:p w14:paraId="6D0FAD7E" w14:textId="3D6C2095" w:rsidR="001665B9" w:rsidRPr="001665B9" w:rsidRDefault="00000000" w:rsidP="001665B9">
      <w:pPr>
        <w:pStyle w:val="ListParagraph"/>
        <w:ind w:left="460"/>
        <w:rPr>
          <w:rFonts w:eastAsiaTheme="minorHAnsi"/>
          <w:lang w:val="sq-AL"/>
        </w:rPr>
      </w:pPr>
      <w:hyperlink r:id="rId9" w:history="1">
        <w:r w:rsidR="001665B9" w:rsidRPr="001665B9">
          <w:rPr>
            <w:rStyle w:val="Hyperlink"/>
            <w:lang w:val="sq-AL"/>
          </w:rPr>
          <w:t>https://akshi.gov.al/wp-content/uploads/2023/08/rregullore-nr.1-date-16.06.2023-per-perdorimin-e-postes-elektronike-ne-administraten-publike.pdf</w:t>
        </w:r>
      </w:hyperlink>
      <w:r w:rsidR="00F15F43">
        <w:rPr>
          <w:lang w:val="sq-AL"/>
        </w:rPr>
        <w:t xml:space="preserve"> ;</w:t>
      </w:r>
    </w:p>
    <w:p w14:paraId="6FB0842F" w14:textId="77777777" w:rsidR="004E6036" w:rsidRPr="00454576" w:rsidRDefault="004E6036" w:rsidP="00454576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7A84BBEC" w14:textId="77777777" w:rsidR="00E53639" w:rsidRPr="00454576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r>
        <w:fldChar w:fldCharType="begin"/>
      </w:r>
      <w:r>
        <w:instrText>HYPERLINK "https://cesk.gov.al/legjislacioni/index.html" \h</w:instrText>
      </w:r>
      <w:r>
        <w:fldChar w:fldCharType="separate"/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ht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t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ps: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/c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sk.</w:t>
      </w:r>
      <w:r w:rsidRPr="00454576">
        <w:rPr>
          <w:rFonts w:ascii="Times New Roman" w:hAnsi="Times New Roman"/>
          <w:color w:val="0000FF"/>
          <w:spacing w:val="-2"/>
          <w:position w:val="-1"/>
          <w:sz w:val="24"/>
          <w:szCs w:val="24"/>
          <w:u w:val="single" w:color="0000FF"/>
          <w:lang w:val="sq-AL"/>
        </w:rPr>
        <w:t>g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ov.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a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FF"/>
          <w:spacing w:val="2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spacing w:val="-2"/>
          <w:position w:val="-1"/>
          <w:sz w:val="24"/>
          <w:szCs w:val="24"/>
          <w:u w:val="single" w:color="0000FF"/>
          <w:lang w:val="sq-AL"/>
        </w:rPr>
        <w:t>g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j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sla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c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ion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nd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spacing w:val="2"/>
          <w:position w:val="-1"/>
          <w:sz w:val="24"/>
          <w:szCs w:val="24"/>
          <w:u w:val="single" w:color="0000FF"/>
          <w:lang w:val="sq-AL"/>
        </w:rPr>
        <w:t>x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.ht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m</w:t>
      </w:r>
      <w:r w:rsidRPr="00454576">
        <w:rPr>
          <w:rFonts w:ascii="Times New Roman" w:hAnsi="Times New Roman"/>
          <w:color w:val="0000FF"/>
          <w:spacing w:val="3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00"/>
          <w:spacing w:val="-1"/>
          <w:position w:val="-1"/>
          <w:sz w:val="24"/>
          <w:szCs w:val="24"/>
          <w:lang w:val="sq-AL"/>
        </w:rPr>
        <w:t>).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lang w:val="sq-AL"/>
        </w:rPr>
        <w:fldChar w:fldCharType="end"/>
      </w:r>
    </w:p>
    <w:p w14:paraId="08F8E677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F853E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Pr="00BA6B5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10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1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540F6F6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i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</w:t>
            </w:r>
            <w:r w:rsidR="004E6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3610CFC8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041E29" w:rsidRPr="00041E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27</w:t>
            </w:r>
            <w:r w:rsidRPr="00041E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="00041E29" w:rsidRPr="00041E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11</w:t>
            </w:r>
            <w:r w:rsidRPr="00041E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/2023</w:t>
            </w:r>
            <w:r w:rsidR="00454576" w:rsidRPr="00041E2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8A7170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</w:t>
            </w:r>
            <w:r w:rsidR="00826D1E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3C4A142B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</w:t>
      </w:r>
      <w:r w:rsidR="00826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ët</w:t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5FC91EC8" w14:textId="02D4E005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7548D9C9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D7F653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26117CD6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07EED771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hyperlink r:id="rId13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313297FB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454576">
        <w:rPr>
          <w:rFonts w:ascii="Times New Roman" w:hAnsi="Times New Roman"/>
          <w:sz w:val="24"/>
          <w:szCs w:val="24"/>
        </w:rPr>
        <w:t>b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z w:val="24"/>
          <w:szCs w:val="24"/>
        </w:rPr>
        <w:t>h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54576">
        <w:rPr>
          <w:rFonts w:ascii="Times New Roman" w:hAnsi="Times New Roman"/>
          <w:sz w:val="24"/>
          <w:szCs w:val="24"/>
        </w:rPr>
        <w:t>dor</w:t>
      </w:r>
      <w:r w:rsidRPr="00454576">
        <w:rPr>
          <w:rFonts w:ascii="Times New Roman" w:hAnsi="Times New Roman"/>
          <w:spacing w:val="-2"/>
          <w:sz w:val="24"/>
          <w:szCs w:val="24"/>
        </w:rPr>
        <w:t>ë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</w:rPr>
        <w:t>postë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ose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ik</w:t>
      </w:r>
      <w:r w:rsidRPr="00454576">
        <w:rPr>
          <w:rFonts w:ascii="Times New Roman" w:hAnsi="Times New Roman"/>
          <w:spacing w:val="1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sht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m</w:t>
      </w:r>
      <w:r w:rsidRPr="00454576">
        <w:rPr>
          <w:rFonts w:ascii="Times New Roman" w:hAnsi="Times New Roman"/>
          <w:spacing w:val="1"/>
          <w:sz w:val="24"/>
          <w:szCs w:val="24"/>
        </w:rPr>
        <w:t>j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diset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e</w:t>
      </w:r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-6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ns</w:t>
      </w:r>
      <w:r w:rsidRPr="00454576">
        <w:rPr>
          <w:rFonts w:ascii="Times New Roman" w:hAnsi="Times New Roman"/>
          <w:spacing w:val="2"/>
          <w:sz w:val="24"/>
          <w:szCs w:val="24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pacing w:val="-5"/>
          <w:sz w:val="24"/>
          <w:szCs w:val="24"/>
        </w:rPr>
        <w:t>L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D</w:t>
      </w:r>
      <w:r w:rsidRPr="00454576">
        <w:rPr>
          <w:rFonts w:ascii="Times New Roman" w:hAnsi="Times New Roman"/>
          <w:spacing w:val="1"/>
          <w:sz w:val="24"/>
          <w:szCs w:val="24"/>
        </w:rPr>
        <w:t>re</w:t>
      </w:r>
      <w:r w:rsidRPr="00454576">
        <w:rPr>
          <w:rFonts w:ascii="Times New Roman" w:hAnsi="Times New Roman"/>
          <w:sz w:val="24"/>
          <w:szCs w:val="24"/>
        </w:rPr>
        <w:t>j</w:t>
      </w:r>
      <w:r w:rsidRPr="00454576">
        <w:rPr>
          <w:rFonts w:ascii="Times New Roman" w:hAnsi="Times New Roman"/>
          <w:spacing w:val="1"/>
          <w:sz w:val="24"/>
          <w:szCs w:val="24"/>
        </w:rPr>
        <w:t>t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pacing w:val="2"/>
          <w:sz w:val="24"/>
          <w:szCs w:val="24"/>
        </w:rPr>
        <w:t>s</w:t>
      </w:r>
      <w:r w:rsidRPr="00454576">
        <w:rPr>
          <w:rFonts w:ascii="Times New Roman" w:hAnsi="Times New Roman"/>
          <w:sz w:val="24"/>
          <w:szCs w:val="24"/>
        </w:rPr>
        <w:t>is</w:t>
      </w:r>
      <w:r w:rsidRPr="0045457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Toptani</w:t>
      </w:r>
      <w:proofErr w:type="gram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 Nd</w:t>
      </w:r>
      <w:proofErr w:type="gram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>,</w:t>
      </w:r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041E29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041E29">
        <w:rPr>
          <w:rFonts w:ascii="Times New Roman" w:hAnsi="Times New Roman"/>
          <w:b/>
          <w:color w:val="FF0000"/>
          <w:sz w:val="24"/>
          <w:szCs w:val="24"/>
        </w:rPr>
        <w:t>11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7FEA7CCC" w:rsidR="002727F0" w:rsidRPr="005E2AE8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454A2AF3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041E29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27.11</w:t>
      </w:r>
      <w:r w:rsidR="00EC1BA1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  <w:r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202</w:t>
      </w:r>
      <w:r w:rsidR="00F759B3" w:rsidRPr="00041E2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3</w:t>
      </w:r>
      <w:r w:rsidRPr="00BA6B5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F759B3" w:rsidRPr="00041E2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2D3A1A11" w14:textId="77777777" w:rsidR="00F15F43" w:rsidRPr="00376B2E" w:rsidRDefault="00F15F43" w:rsidP="00F15F43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376B2E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376B2E">
        <w:rPr>
          <w:rFonts w:ascii="Times New Roman" w:hAnsi="Times New Roman"/>
          <w:sz w:val="24"/>
          <w:szCs w:val="24"/>
          <w:lang w:val="sq-AL"/>
        </w:rPr>
        <w:t>jin nr. 115/20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or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 e q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>it të dr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2906C908" w14:textId="77777777" w:rsidR="00F15F43" w:rsidRPr="00376B2E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045AFCFE" w14:textId="77777777" w:rsidR="00F15F43" w:rsidRPr="00376B2E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nr.10325,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b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 e të d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ve sh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376B2E">
        <w:rPr>
          <w:rFonts w:ascii="Times New Roman" w:hAnsi="Times New Roman"/>
          <w:sz w:val="24"/>
          <w:szCs w:val="24"/>
          <w:lang w:val="sq-AL"/>
        </w:rPr>
        <w:t>;</w:t>
      </w:r>
    </w:p>
    <w:p w14:paraId="31A861E2" w14:textId="77777777" w:rsidR="00F15F43" w:rsidRPr="00376B2E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.10273,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të29.4.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nik”, i nd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376B2E">
        <w:rPr>
          <w:rFonts w:ascii="Times New Roman" w:hAnsi="Times New Roman"/>
          <w:sz w:val="24"/>
          <w:szCs w:val="24"/>
          <w:lang w:val="sq-AL"/>
        </w:rPr>
        <w:t>sh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23BFEB21" w14:textId="77777777" w:rsidR="00F15F43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.9918,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 19.5.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komun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ki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nike në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8F49BE">
        <w:rPr>
          <w:rFonts w:ascii="Times New Roman" w:hAnsi="Times New Roman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8F49BE">
        <w:rPr>
          <w:rFonts w:ascii="Times New Roman" w:hAnsi="Times New Roman"/>
          <w:sz w:val="24"/>
          <w:szCs w:val="24"/>
          <w:lang w:val="sq-AL"/>
        </w:rPr>
        <w:t>publ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8F49BE">
        <w:rPr>
          <w:rFonts w:ascii="Times New Roman" w:hAnsi="Times New Roman"/>
          <w:sz w:val="24"/>
          <w:szCs w:val="24"/>
          <w:lang w:val="sq-AL"/>
        </w:rPr>
        <w:t>k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8F49BE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8F49BE">
        <w:rPr>
          <w:rFonts w:ascii="Times New Roman" w:hAnsi="Times New Roman"/>
          <w:sz w:val="24"/>
          <w:szCs w:val="24"/>
          <w:lang w:val="sq-AL"/>
        </w:rPr>
        <w:t>hqipë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z w:val="24"/>
          <w:szCs w:val="24"/>
          <w:lang w:val="sq-AL"/>
        </w:rPr>
        <w:t>isë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8F49BE">
        <w:rPr>
          <w:rFonts w:ascii="Times New Roman" w:hAnsi="Times New Roman"/>
          <w:sz w:val="24"/>
          <w:szCs w:val="24"/>
          <w:lang w:val="sq-AL"/>
        </w:rPr>
        <w:t>, i nd</w:t>
      </w:r>
      <w:r w:rsidRPr="008F49B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8F49BE">
        <w:rPr>
          <w:rFonts w:ascii="Times New Roman" w:hAnsi="Times New Roman"/>
          <w:sz w:val="24"/>
          <w:szCs w:val="24"/>
          <w:lang w:val="sq-AL"/>
        </w:rPr>
        <w:t>shu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8F49BE">
        <w:rPr>
          <w:rFonts w:ascii="Times New Roman" w:hAnsi="Times New Roman"/>
          <w:sz w:val="24"/>
          <w:szCs w:val="24"/>
          <w:lang w:val="sq-AL"/>
        </w:rPr>
        <w:t>r;</w:t>
      </w:r>
    </w:p>
    <w:p w14:paraId="14AC042B" w14:textId="77777777" w:rsidR="00F15F43" w:rsidRPr="008F49BE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Njohuritë mbi VKM nr.971, datë 02.12.2020 “Për miratimin e rregullave për politikat e përgjithshme shtetërore, për sistemin e teknologjisë së informacionit, për sistemin e drejtësisë”;</w:t>
      </w:r>
    </w:p>
    <w:p w14:paraId="26289B6C" w14:textId="77777777" w:rsidR="00F15F43" w:rsidRPr="00F15F43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1665B9">
        <w:rPr>
          <w:rFonts w:ascii="Times New Roman" w:hAnsi="Times New Roman"/>
          <w:sz w:val="24"/>
          <w:szCs w:val="24"/>
          <w:lang w:val="sq-AL"/>
        </w:rPr>
        <w:t>Njohu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1665B9">
        <w:rPr>
          <w:rFonts w:ascii="Times New Roman" w:hAnsi="Times New Roman"/>
          <w:sz w:val="24"/>
          <w:szCs w:val="24"/>
          <w:lang w:val="sq-AL"/>
        </w:rPr>
        <w:t>j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z w:val="24"/>
          <w:szCs w:val="24"/>
          <w:lang w:val="sq-AL"/>
        </w:rPr>
        <w:t>sla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1665B9">
        <w:rPr>
          <w:rFonts w:ascii="Times New Roman" w:hAnsi="Times New Roman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>ne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1665B9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r>
        <w:rPr>
          <w:rFonts w:ascii="Times New Roman" w:hAnsi="Times New Roman"/>
          <w:spacing w:val="2"/>
          <w:sz w:val="24"/>
          <w:szCs w:val="24"/>
          <w:lang w:val="sq-AL"/>
        </w:rPr>
        <w:fldChar w:fldCharType="begin"/>
      </w:r>
      <w:r>
        <w:rPr>
          <w:rFonts w:ascii="Times New Roman" w:hAnsi="Times New Roman"/>
          <w:spacing w:val="2"/>
          <w:sz w:val="24"/>
          <w:szCs w:val="24"/>
          <w:lang w:val="sq-AL"/>
        </w:rPr>
        <w:instrText>HYPERLINK "</w:instrText>
      </w:r>
      <w:r w:rsidRPr="003E2AD8">
        <w:rPr>
          <w:rFonts w:ascii="Times New Roman" w:hAnsi="Times New Roman"/>
          <w:spacing w:val="2"/>
          <w:sz w:val="24"/>
          <w:szCs w:val="24"/>
          <w:lang w:val="sq-AL"/>
        </w:rPr>
        <w:instrText>https://qti.al/wp-content/uploads/2022/01/LEGJISLACIONIMBIKRIMINKIBERNETIK.pdf</w:instrText>
      </w:r>
      <w:r>
        <w:rPr>
          <w:rFonts w:ascii="Times New Roman" w:hAnsi="Times New Roman"/>
          <w:spacing w:val="2"/>
          <w:sz w:val="24"/>
          <w:szCs w:val="24"/>
          <w:lang w:val="sq-AL"/>
        </w:rPr>
        <w:instrText>"</w:instrText>
      </w:r>
      <w:r>
        <w:rPr>
          <w:rFonts w:ascii="Times New Roman" w:hAnsi="Times New Roman"/>
          <w:spacing w:val="2"/>
          <w:sz w:val="24"/>
          <w:szCs w:val="24"/>
          <w:lang w:val="sq-AL"/>
        </w:rPr>
      </w:r>
      <w:r>
        <w:rPr>
          <w:rFonts w:ascii="Times New Roman" w:hAnsi="Times New Roman"/>
          <w:spacing w:val="2"/>
          <w:sz w:val="24"/>
          <w:szCs w:val="24"/>
          <w:lang w:val="sq-AL"/>
        </w:rPr>
        <w:fldChar w:fldCharType="separate"/>
      </w:r>
      <w:r w:rsidRPr="00A70D0D">
        <w:rPr>
          <w:rStyle w:val="Hyperlink"/>
          <w:rFonts w:ascii="Times New Roman" w:hAnsi="Times New Roman"/>
          <w:spacing w:val="2"/>
          <w:sz w:val="24"/>
          <w:szCs w:val="24"/>
          <w:lang w:val="sq-AL"/>
        </w:rPr>
        <w:t>https://qti.al/wp-content/uploads/2022/01/LEGJISLACIONIMBIKRIMINKIBERNETIK.pdf</w:t>
      </w:r>
      <w:r>
        <w:rPr>
          <w:rFonts w:ascii="Times New Roman" w:hAnsi="Times New Roman"/>
          <w:spacing w:val="2"/>
          <w:sz w:val="24"/>
          <w:szCs w:val="24"/>
          <w:lang w:val="sq-AL"/>
        </w:rPr>
        <w:fldChar w:fldCharType="end"/>
      </w:r>
      <w:r>
        <w:rPr>
          <w:rFonts w:ascii="Times New Roman" w:hAnsi="Times New Roman"/>
          <w:spacing w:val="2"/>
          <w:sz w:val="24"/>
          <w:szCs w:val="24"/>
          <w:lang w:val="sq-AL"/>
        </w:rPr>
        <w:t xml:space="preserve">); </w:t>
      </w:r>
    </w:p>
    <w:p w14:paraId="7EDF41BE" w14:textId="77777777" w:rsidR="00F15F43" w:rsidRPr="001665B9" w:rsidRDefault="00F15F43" w:rsidP="00F15F43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lang w:val="sq-AL"/>
        </w:rPr>
      </w:pPr>
    </w:p>
    <w:p w14:paraId="55EA091D" w14:textId="77777777" w:rsidR="00F15F43" w:rsidRPr="001665B9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1665B9">
        <w:rPr>
          <w:rFonts w:ascii="Times New Roman" w:hAnsi="Times New Roman"/>
          <w:sz w:val="24"/>
          <w:szCs w:val="24"/>
          <w:lang w:val="sq-AL"/>
        </w:rPr>
        <w:t>Njohuritë mbi Rre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1665B9">
        <w:rPr>
          <w:rFonts w:ascii="Times New Roman" w:hAnsi="Times New Roman"/>
          <w:sz w:val="24"/>
          <w:szCs w:val="24"/>
          <w:lang w:val="sq-AL"/>
        </w:rPr>
        <w:t>ul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1665B9">
        <w:rPr>
          <w:rFonts w:ascii="Times New Roman" w:hAnsi="Times New Roman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z w:val="24"/>
          <w:szCs w:val="24"/>
          <w:lang w:val="sq-AL"/>
        </w:rPr>
        <w:t>en p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r p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rd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1665B9">
        <w:rPr>
          <w:rFonts w:ascii="Times New Roman" w:hAnsi="Times New Roman"/>
          <w:sz w:val="24"/>
          <w:szCs w:val="24"/>
          <w:lang w:val="sq-AL"/>
        </w:rPr>
        <w:t>rimin e post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1665B9">
        <w:rPr>
          <w:rFonts w:ascii="Times New Roman" w:hAnsi="Times New Roman"/>
          <w:sz w:val="24"/>
          <w:szCs w:val="24"/>
          <w:lang w:val="sq-AL"/>
        </w:rPr>
        <w:t>s el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1665B9">
        <w:rPr>
          <w:rFonts w:ascii="Times New Roman" w:hAnsi="Times New Roman"/>
          <w:sz w:val="24"/>
          <w:szCs w:val="24"/>
          <w:lang w:val="sq-AL"/>
        </w:rPr>
        <w:t>k</w:t>
      </w:r>
      <w:r w:rsidRPr="001665B9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>ronike në</w:t>
      </w:r>
      <w:r w:rsidRPr="001665B9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1665B9">
        <w:rPr>
          <w:rFonts w:ascii="Times New Roman" w:hAnsi="Times New Roman"/>
          <w:sz w:val="24"/>
          <w:szCs w:val="24"/>
          <w:lang w:val="sq-AL"/>
        </w:rPr>
        <w:t>dm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1665B9">
        <w:rPr>
          <w:rFonts w:ascii="Times New Roman" w:hAnsi="Times New Roman"/>
          <w:sz w:val="24"/>
          <w:szCs w:val="24"/>
          <w:lang w:val="sq-AL"/>
        </w:rPr>
        <w:t>nis</w:t>
      </w:r>
      <w:r w:rsidRPr="001665B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1665B9">
        <w:rPr>
          <w:rFonts w:ascii="Times New Roman" w:hAnsi="Times New Roman"/>
          <w:sz w:val="24"/>
          <w:szCs w:val="24"/>
          <w:lang w:val="sq-AL"/>
        </w:rPr>
        <w:t>r</w:t>
      </w:r>
      <w:r w:rsidRPr="001665B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1665B9">
        <w:rPr>
          <w:rFonts w:ascii="Times New Roman" w:hAnsi="Times New Roman"/>
          <w:sz w:val="24"/>
          <w:szCs w:val="24"/>
          <w:lang w:val="sq-AL"/>
        </w:rPr>
        <w:t>tën publike:</w:t>
      </w:r>
    </w:p>
    <w:p w14:paraId="0E6C7761" w14:textId="77777777" w:rsidR="00F15F43" w:rsidRPr="001665B9" w:rsidRDefault="00000000" w:rsidP="00F15F43">
      <w:pPr>
        <w:pStyle w:val="ListParagraph"/>
        <w:ind w:left="460"/>
        <w:rPr>
          <w:rFonts w:eastAsiaTheme="minorHAnsi"/>
          <w:lang w:val="sq-AL"/>
        </w:rPr>
      </w:pPr>
      <w:hyperlink r:id="rId14" w:history="1">
        <w:r w:rsidR="00F15F43" w:rsidRPr="001665B9">
          <w:rPr>
            <w:rStyle w:val="Hyperlink"/>
            <w:lang w:val="sq-AL"/>
          </w:rPr>
          <w:t>https://akshi.gov.al/wp-content/uploads/2023/08/rregullore-nr.1-date-16.06.2023-per-perdorimin-e-postes-elektronike-ne-administraten-publike.pdf</w:t>
        </w:r>
      </w:hyperlink>
      <w:r w:rsidR="00F15F43">
        <w:rPr>
          <w:lang w:val="sq-AL"/>
        </w:rPr>
        <w:t xml:space="preserve"> ;</w:t>
      </w:r>
    </w:p>
    <w:p w14:paraId="722C6F8B" w14:textId="77777777" w:rsidR="00F15F43" w:rsidRPr="00454576" w:rsidRDefault="00F15F43" w:rsidP="00F15F43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0C27CAF6" w14:textId="1AE11430" w:rsidR="00CC2560" w:rsidRPr="00F15F43" w:rsidRDefault="00F15F43" w:rsidP="00F15F43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r>
        <w:fldChar w:fldCharType="begin"/>
      </w:r>
      <w:r>
        <w:instrText>HYPERLINK "https://cesk.gov.al/legjislacioni/index.html" \h</w:instrText>
      </w:r>
      <w:r>
        <w:fldChar w:fldCharType="separate"/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ht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t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ps: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/c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sk.</w:t>
      </w:r>
      <w:r w:rsidRPr="00454576">
        <w:rPr>
          <w:rFonts w:ascii="Times New Roman" w:hAnsi="Times New Roman"/>
          <w:color w:val="0000FF"/>
          <w:spacing w:val="-2"/>
          <w:position w:val="-1"/>
          <w:sz w:val="24"/>
          <w:szCs w:val="24"/>
          <w:u w:val="single" w:color="0000FF"/>
          <w:lang w:val="sq-AL"/>
        </w:rPr>
        <w:t>g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ov.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a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FF"/>
          <w:spacing w:val="2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spacing w:val="-2"/>
          <w:position w:val="-1"/>
          <w:sz w:val="24"/>
          <w:szCs w:val="24"/>
          <w:u w:val="single" w:color="0000FF"/>
          <w:lang w:val="sq-AL"/>
        </w:rPr>
        <w:t>g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j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sla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c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ion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/</w:t>
      </w:r>
      <w:r w:rsidRPr="00454576">
        <w:rPr>
          <w:rFonts w:ascii="Times New Roman" w:hAnsi="Times New Roman"/>
          <w:color w:val="0000FF"/>
          <w:spacing w:val="1"/>
          <w:position w:val="-1"/>
          <w:sz w:val="24"/>
          <w:szCs w:val="24"/>
          <w:u w:val="single" w:color="0000FF"/>
          <w:lang w:val="sq-AL"/>
        </w:rPr>
        <w:t>i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nd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e</w:t>
      </w:r>
      <w:r w:rsidRPr="00454576">
        <w:rPr>
          <w:rFonts w:ascii="Times New Roman" w:hAnsi="Times New Roman"/>
          <w:color w:val="0000FF"/>
          <w:spacing w:val="2"/>
          <w:position w:val="-1"/>
          <w:sz w:val="24"/>
          <w:szCs w:val="24"/>
          <w:u w:val="single" w:color="0000FF"/>
          <w:lang w:val="sq-AL"/>
        </w:rPr>
        <w:t>x</w:t>
      </w:r>
      <w:r w:rsidRPr="00454576">
        <w:rPr>
          <w:rFonts w:ascii="Times New Roman" w:hAnsi="Times New Roman"/>
          <w:color w:val="0000FF"/>
          <w:position w:val="-1"/>
          <w:sz w:val="24"/>
          <w:szCs w:val="24"/>
          <w:u w:val="single" w:color="0000FF"/>
          <w:lang w:val="sq-AL"/>
        </w:rPr>
        <w:t>.ht</w:t>
      </w:r>
      <w:r w:rsidRPr="00454576">
        <w:rPr>
          <w:rFonts w:ascii="Times New Roman" w:hAnsi="Times New Roman"/>
          <w:color w:val="0000FF"/>
          <w:spacing w:val="-1"/>
          <w:position w:val="-1"/>
          <w:sz w:val="24"/>
          <w:szCs w:val="24"/>
          <w:u w:val="single" w:color="0000FF"/>
          <w:lang w:val="sq-AL"/>
        </w:rPr>
        <w:t>m</w:t>
      </w:r>
      <w:r w:rsidRPr="00454576">
        <w:rPr>
          <w:rFonts w:ascii="Times New Roman" w:hAnsi="Times New Roman"/>
          <w:color w:val="0000FF"/>
          <w:spacing w:val="3"/>
          <w:position w:val="-1"/>
          <w:sz w:val="24"/>
          <w:szCs w:val="24"/>
          <w:u w:val="single" w:color="0000FF"/>
          <w:lang w:val="sq-AL"/>
        </w:rPr>
        <w:t>l</w:t>
      </w:r>
      <w:r w:rsidRPr="00454576">
        <w:rPr>
          <w:rFonts w:ascii="Times New Roman" w:hAnsi="Times New Roman"/>
          <w:color w:val="000000"/>
          <w:spacing w:val="-1"/>
          <w:position w:val="-1"/>
          <w:sz w:val="24"/>
          <w:szCs w:val="24"/>
          <w:lang w:val="sq-AL"/>
        </w:rPr>
        <w:t>).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  <w:lang w:val="sq-AL"/>
        </w:rPr>
        <w:fldChar w:fldCharType="end"/>
      </w: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>
        <w:fldChar w:fldCharType="begin"/>
      </w:r>
      <w:r>
        <w:instrText>HYPERLINK "http://www.dap.gov.al"</w:instrText>
      </w:r>
      <w:r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>
        <w:rPr>
          <w:rStyle w:val="Hyperlink"/>
          <w:rFonts w:ascii="Times New Roman" w:hAnsi="Times New Roman"/>
          <w:lang w:val="sq-AL"/>
        </w:rPr>
        <w:fldChar w:fldCharType="end"/>
      </w:r>
    </w:p>
    <w:p w14:paraId="588EF8C5" w14:textId="48242141" w:rsidR="005E2AE8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5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3E666192" w14:textId="77777777" w:rsidR="0045530C" w:rsidRPr="005E2AE8" w:rsidRDefault="0045530C" w:rsidP="002727F0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proofErr w:type="gram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1D76A065" w14:textId="2FFAB30F" w:rsidR="00826D1E" w:rsidRPr="00454576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përfundim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afatit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ankimimit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454576">
        <w:rPr>
          <w:rFonts w:ascii="Times New Roman" w:hAnsi="Times New Roman"/>
          <w:sz w:val="24"/>
          <w:szCs w:val="24"/>
        </w:rPr>
        <w:t>Inspektorit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Lartë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Drejtësisë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454576">
        <w:rPr>
          <w:rFonts w:ascii="Times New Roman" w:hAnsi="Times New Roman"/>
          <w:sz w:val="24"/>
          <w:szCs w:val="24"/>
        </w:rPr>
        <w:t>shpallë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fituesin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4545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454576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45457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454576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76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576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24FD97F8" w14:textId="426D4D52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45457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454576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041E29" w:rsidRPr="00041E29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27</w:t>
            </w:r>
            <w:r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41E29"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041E29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041E2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5E2AE8">
      <w:pPr>
        <w:rPr>
          <w:rFonts w:ascii="Times New Roman" w:hAnsi="Times New Roman"/>
          <w:sz w:val="24"/>
          <w:szCs w:val="24"/>
        </w:rPr>
      </w:pPr>
    </w:p>
    <w:sectPr w:rsidR="002727F0" w:rsidRPr="00EC730E" w:rsidSect="00BA6B56">
      <w:footerReference w:type="default" r:id="rId16"/>
      <w:pgSz w:w="12240" w:h="15840"/>
      <w:pgMar w:top="450" w:right="1440" w:bottom="45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941B" w14:textId="77777777" w:rsidR="00920B3B" w:rsidRDefault="00920B3B" w:rsidP="002727F0">
      <w:pPr>
        <w:spacing w:after="0" w:line="240" w:lineRule="auto"/>
      </w:pPr>
      <w:r>
        <w:separator/>
      </w:r>
    </w:p>
  </w:endnote>
  <w:endnote w:type="continuationSeparator" w:id="0">
    <w:p w14:paraId="46F449C9" w14:textId="77777777" w:rsidR="00920B3B" w:rsidRDefault="00920B3B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0B43" w14:textId="77777777" w:rsidR="00920B3B" w:rsidRDefault="00920B3B" w:rsidP="002727F0">
      <w:pPr>
        <w:spacing w:after="0" w:line="240" w:lineRule="auto"/>
      </w:pPr>
      <w:r>
        <w:separator/>
      </w:r>
    </w:p>
  </w:footnote>
  <w:footnote w:type="continuationSeparator" w:id="0">
    <w:p w14:paraId="22D54520" w14:textId="77777777" w:rsidR="00920B3B" w:rsidRDefault="00920B3B" w:rsidP="002727F0">
      <w:pPr>
        <w:spacing w:after="0" w:line="240" w:lineRule="auto"/>
      </w:pPr>
      <w:r>
        <w:continuationSeparator/>
      </w:r>
    </w:p>
  </w:footnote>
  <w:footnote w:id="1">
    <w:p w14:paraId="38AFC4F3" w14:textId="77777777" w:rsidR="00994588" w:rsidRPr="009B0A01" w:rsidRDefault="00994588" w:rsidP="00994588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Referuar</w:t>
      </w:r>
      <w:proofErr w:type="spellEnd"/>
      <w:r w:rsidRPr="009B0A01">
        <w:rPr>
          <w:rFonts w:ascii="Times New Roman" w:hAnsi="Times New Roman"/>
          <w:sz w:val="18"/>
          <w:szCs w:val="18"/>
        </w:rPr>
        <w:t xml:space="preserve"> </w:t>
      </w:r>
      <w:r w:rsidRPr="009B0A01">
        <w:rPr>
          <w:rFonts w:ascii="Times New Roman" w:hAnsi="Times New Roman"/>
          <w:sz w:val="18"/>
          <w:szCs w:val="18"/>
          <w:lang w:val="sq-AL"/>
        </w:rPr>
        <w:t>kreut IV, pika 4, të VKM nr. 325, datë 31.05.2023 “Për miratimin e strukturës së pagave, niveleve të pagave dhe shtesave të tjera mbi pagë të zëvendësministrit, funksionarëve të kabineteve, prefektit, nënprefektit, nëpunësve civilë dhe nëpunësve në disa institucione të administratës publike.</w:t>
      </w:r>
      <w:r w:rsidRPr="009B0A01">
        <w:rPr>
          <w:sz w:val="18"/>
          <w:szCs w:val="18"/>
          <w:lang w:val="sq-AL"/>
        </w:rPr>
        <w:t>”</w:t>
      </w:r>
    </w:p>
    <w:p w14:paraId="4A23781E" w14:textId="77777777" w:rsidR="00994588" w:rsidRDefault="00994588" w:rsidP="00994588">
      <w:pPr>
        <w:pStyle w:val="FootnoteText"/>
      </w:pPr>
    </w:p>
    <w:p w14:paraId="4DC3E892" w14:textId="77777777" w:rsidR="00994588" w:rsidRDefault="00994588" w:rsidP="0099458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FD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D7EA6"/>
    <w:multiLevelType w:val="hybridMultilevel"/>
    <w:tmpl w:val="494418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C17B8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50F5"/>
    <w:multiLevelType w:val="hybridMultilevel"/>
    <w:tmpl w:val="18A0F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2CE6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294425"/>
    <w:multiLevelType w:val="hybridMultilevel"/>
    <w:tmpl w:val="4D88F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6"/>
  </w:num>
  <w:num w:numId="2" w16cid:durableId="729112803">
    <w:abstractNumId w:val="26"/>
  </w:num>
  <w:num w:numId="3" w16cid:durableId="1661497972">
    <w:abstractNumId w:val="23"/>
  </w:num>
  <w:num w:numId="4" w16cid:durableId="1358968212">
    <w:abstractNumId w:val="2"/>
  </w:num>
  <w:num w:numId="5" w16cid:durableId="1843424103">
    <w:abstractNumId w:val="16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8"/>
  </w:num>
  <w:num w:numId="8" w16cid:durableId="5534636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5"/>
  </w:num>
  <w:num w:numId="11" w16cid:durableId="1995178602">
    <w:abstractNumId w:val="11"/>
  </w:num>
  <w:num w:numId="12" w16cid:durableId="2039888102">
    <w:abstractNumId w:val="8"/>
  </w:num>
  <w:num w:numId="13" w16cid:durableId="44719507">
    <w:abstractNumId w:val="17"/>
  </w:num>
  <w:num w:numId="14" w16cid:durableId="728919195">
    <w:abstractNumId w:val="19"/>
  </w:num>
  <w:num w:numId="15" w16cid:durableId="1253666982">
    <w:abstractNumId w:val="20"/>
  </w:num>
  <w:num w:numId="16" w16cid:durableId="179432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0"/>
  </w:num>
  <w:num w:numId="18" w16cid:durableId="1989288841">
    <w:abstractNumId w:val="12"/>
  </w:num>
  <w:num w:numId="19" w16cid:durableId="777413937">
    <w:abstractNumId w:val="4"/>
  </w:num>
  <w:num w:numId="20" w16cid:durableId="1534224830">
    <w:abstractNumId w:val="13"/>
  </w:num>
  <w:num w:numId="21" w16cid:durableId="101610430">
    <w:abstractNumId w:val="1"/>
  </w:num>
  <w:num w:numId="22" w16cid:durableId="104428118">
    <w:abstractNumId w:val="14"/>
  </w:num>
  <w:num w:numId="23" w16cid:durableId="953101297">
    <w:abstractNumId w:val="3"/>
  </w:num>
  <w:num w:numId="24" w16cid:durableId="1084570146">
    <w:abstractNumId w:val="27"/>
  </w:num>
  <w:num w:numId="25" w16cid:durableId="247154420">
    <w:abstractNumId w:val="15"/>
  </w:num>
  <w:num w:numId="26" w16cid:durableId="2059281079">
    <w:abstractNumId w:val="9"/>
  </w:num>
  <w:num w:numId="27" w16cid:durableId="700865178">
    <w:abstractNumId w:val="6"/>
  </w:num>
  <w:num w:numId="28" w16cid:durableId="109396594">
    <w:abstractNumId w:val="5"/>
  </w:num>
  <w:num w:numId="29" w16cid:durableId="366179969">
    <w:abstractNumId w:val="21"/>
  </w:num>
  <w:num w:numId="30" w16cid:durableId="351808559">
    <w:abstractNumId w:val="6"/>
  </w:num>
  <w:num w:numId="31" w16cid:durableId="591429062">
    <w:abstractNumId w:val="24"/>
  </w:num>
  <w:num w:numId="32" w16cid:durableId="7408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41E29"/>
    <w:rsid w:val="00043913"/>
    <w:rsid w:val="000521DB"/>
    <w:rsid w:val="00077EB4"/>
    <w:rsid w:val="00093E2B"/>
    <w:rsid w:val="000C7966"/>
    <w:rsid w:val="001016A9"/>
    <w:rsid w:val="00102787"/>
    <w:rsid w:val="001665B9"/>
    <w:rsid w:val="00181298"/>
    <w:rsid w:val="001F2B17"/>
    <w:rsid w:val="002075A3"/>
    <w:rsid w:val="0022398E"/>
    <w:rsid w:val="00231904"/>
    <w:rsid w:val="00243D1E"/>
    <w:rsid w:val="002727F0"/>
    <w:rsid w:val="00284171"/>
    <w:rsid w:val="002B350D"/>
    <w:rsid w:val="002B3F49"/>
    <w:rsid w:val="002F4B1F"/>
    <w:rsid w:val="00307B71"/>
    <w:rsid w:val="00353185"/>
    <w:rsid w:val="00360496"/>
    <w:rsid w:val="003B7B98"/>
    <w:rsid w:val="003D485C"/>
    <w:rsid w:val="003E2AD8"/>
    <w:rsid w:val="00420CC4"/>
    <w:rsid w:val="00454576"/>
    <w:rsid w:val="0045530C"/>
    <w:rsid w:val="0048174D"/>
    <w:rsid w:val="004A4296"/>
    <w:rsid w:val="004B6285"/>
    <w:rsid w:val="004D2C7D"/>
    <w:rsid w:val="004E2BF7"/>
    <w:rsid w:val="004E6036"/>
    <w:rsid w:val="005171BF"/>
    <w:rsid w:val="00520218"/>
    <w:rsid w:val="00524C90"/>
    <w:rsid w:val="00555B0F"/>
    <w:rsid w:val="0059292D"/>
    <w:rsid w:val="005A37FA"/>
    <w:rsid w:val="005B21CC"/>
    <w:rsid w:val="005B2A8A"/>
    <w:rsid w:val="005C73B2"/>
    <w:rsid w:val="005E2AE8"/>
    <w:rsid w:val="005E3D22"/>
    <w:rsid w:val="00661A90"/>
    <w:rsid w:val="00685348"/>
    <w:rsid w:val="006B3898"/>
    <w:rsid w:val="006C160C"/>
    <w:rsid w:val="006D097E"/>
    <w:rsid w:val="006D3CF4"/>
    <w:rsid w:val="006F4CC4"/>
    <w:rsid w:val="006F5E50"/>
    <w:rsid w:val="0074445A"/>
    <w:rsid w:val="0074549D"/>
    <w:rsid w:val="0075097D"/>
    <w:rsid w:val="007562E9"/>
    <w:rsid w:val="007A572C"/>
    <w:rsid w:val="007C612A"/>
    <w:rsid w:val="00820878"/>
    <w:rsid w:val="00826D1E"/>
    <w:rsid w:val="008465A1"/>
    <w:rsid w:val="008B14E6"/>
    <w:rsid w:val="008E2EDE"/>
    <w:rsid w:val="008F49BE"/>
    <w:rsid w:val="00902DF3"/>
    <w:rsid w:val="00920B3B"/>
    <w:rsid w:val="00954B7B"/>
    <w:rsid w:val="00967BC6"/>
    <w:rsid w:val="00973F2C"/>
    <w:rsid w:val="00994588"/>
    <w:rsid w:val="00A500C3"/>
    <w:rsid w:val="00A50D6B"/>
    <w:rsid w:val="00AA4F49"/>
    <w:rsid w:val="00AB3D66"/>
    <w:rsid w:val="00AC43E6"/>
    <w:rsid w:val="00AE5975"/>
    <w:rsid w:val="00AE7519"/>
    <w:rsid w:val="00AF5DE7"/>
    <w:rsid w:val="00B25D1E"/>
    <w:rsid w:val="00BA1A45"/>
    <w:rsid w:val="00BA2E05"/>
    <w:rsid w:val="00BA6B56"/>
    <w:rsid w:val="00BF5153"/>
    <w:rsid w:val="00C020F3"/>
    <w:rsid w:val="00C45BC4"/>
    <w:rsid w:val="00C5028B"/>
    <w:rsid w:val="00CA4605"/>
    <w:rsid w:val="00CC2560"/>
    <w:rsid w:val="00CC6267"/>
    <w:rsid w:val="00CF02FA"/>
    <w:rsid w:val="00CF46E9"/>
    <w:rsid w:val="00D12C75"/>
    <w:rsid w:val="00D43C1D"/>
    <w:rsid w:val="00D8718B"/>
    <w:rsid w:val="00D90042"/>
    <w:rsid w:val="00D91BC9"/>
    <w:rsid w:val="00D977B4"/>
    <w:rsid w:val="00DA61A5"/>
    <w:rsid w:val="00DF71CD"/>
    <w:rsid w:val="00E53639"/>
    <w:rsid w:val="00E75887"/>
    <w:rsid w:val="00EB35AA"/>
    <w:rsid w:val="00EC1BA1"/>
    <w:rsid w:val="00EE63FE"/>
    <w:rsid w:val="00EF7100"/>
    <w:rsid w:val="00F071ED"/>
    <w:rsid w:val="00F1239E"/>
    <w:rsid w:val="00F12A95"/>
    <w:rsid w:val="00F15F43"/>
    <w:rsid w:val="00F16A25"/>
    <w:rsid w:val="00F3453D"/>
    <w:rsid w:val="00F41D23"/>
    <w:rsid w:val="00F759B3"/>
    <w:rsid w:val="00F853EE"/>
    <w:rsid w:val="00FA573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E60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58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588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58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E2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s://ild.al/dokonline/Formular-vetdeklarimi-gjendje-gjyqesor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shi.gov.al/wp-content/uploads/2023/08/rregullore-nr.1-date-16.06.2023-per-perdorimin-e-postes-elektronike-ne-administraten-publike.pdf" TargetMode="External"/><Relationship Id="rId14" Type="http://schemas.openxmlformats.org/officeDocument/2006/relationships/hyperlink" Target="https://akshi.gov.al/wp-content/uploads/2023/08/rregullore-nr.1-date-16.06.2023-per-perdorimin-e-postes-elektronike-ne-administraten-publi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8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66</cp:revision>
  <cp:lastPrinted>2023-10-26T11:52:00Z</cp:lastPrinted>
  <dcterms:created xsi:type="dcterms:W3CDTF">2022-01-06T07:41:00Z</dcterms:created>
  <dcterms:modified xsi:type="dcterms:W3CDTF">2023-10-26T11:56:00Z</dcterms:modified>
</cp:coreProperties>
</file>