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60211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>
        <w:rPr>
          <w:b/>
        </w:rPr>
        <w:t xml:space="preserve">Sektorit </w:t>
      </w:r>
      <w:r w:rsidR="00966AB0">
        <w:rPr>
          <w:b/>
        </w:rPr>
        <w:t xml:space="preserve">te Borxhit dhe Detyrimeve te papaguara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 xml:space="preserve">ELE  </w:t>
            </w:r>
            <w:r w:rsidR="00351B4E">
              <w:t>15.06.2023</w:t>
            </w:r>
          </w:p>
          <w:p w:rsidR="00C60211" w:rsidRPr="00223240" w:rsidRDefault="00C60211" w:rsidP="00351B4E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 xml:space="preserve">mentave për NGRITJE NE DETYRE  </w:t>
            </w:r>
            <w:r w:rsidR="00351B4E">
              <w:t>20.06.2023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>
        <w:rPr>
          <w:rFonts w:ascii="Times New Roman" w:hAnsi="Times New Roman"/>
          <w:b/>
          <w:sz w:val="24"/>
          <w:szCs w:val="24"/>
        </w:rPr>
        <w:t>Sektorit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Borxhit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dhe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Detyrimeve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papaguara</w:t>
      </w:r>
      <w:proofErr w:type="spellEnd"/>
      <w:r w:rsidR="00C6021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proofErr w:type="gram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</w:t>
      </w:r>
      <w:proofErr w:type="gramEnd"/>
      <w:r w:rsidR="00C60211" w:rsidRPr="001A574A">
        <w:rPr>
          <w:rFonts w:ascii="Times New Roman" w:hAnsi="Times New Roman"/>
          <w:b/>
          <w:sz w:val="24"/>
          <w:szCs w:val="24"/>
        </w:rPr>
        <w:t>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B945E9" w:rsidRPr="00C97E77" w:rsidRDefault="00C60211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r>
        <w:t>-</w:t>
      </w:r>
      <w:r w:rsidR="00B945E9" w:rsidRPr="00B945E9">
        <w:rPr>
          <w:rFonts w:eastAsiaTheme="minorHAnsi"/>
          <w:color w:val="000000"/>
          <w:lang w:val="en-US"/>
        </w:rPr>
        <w:t xml:space="preserve">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Pergjigjet</w:t>
      </w:r>
      <w:proofErr w:type="spellEnd"/>
      <w:r w:rsidR="00B945E9" w:rsidRPr="00C97E77">
        <w:rPr>
          <w:rFonts w:eastAsiaTheme="minorHAnsi"/>
          <w:color w:val="000000"/>
          <w:lang w:val="en-US"/>
        </w:rPr>
        <w:t xml:space="preserve"> per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mbikeqyrjen</w:t>
      </w:r>
      <w:proofErr w:type="spellEnd"/>
      <w:r w:rsidR="00B945E9"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dhe</w:t>
      </w:r>
      <w:proofErr w:type="spellEnd"/>
      <w:r w:rsidR="00B945E9"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koordinimin</w:t>
      </w:r>
      <w:proofErr w:type="spellEnd"/>
      <w:r w:rsidR="00B945E9"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veprimtarise</w:t>
      </w:r>
      <w:proofErr w:type="spellEnd"/>
      <w:r w:rsidR="00B945E9" w:rsidRPr="00C97E77">
        <w:rPr>
          <w:rFonts w:eastAsiaTheme="minorHAnsi"/>
          <w:color w:val="000000"/>
          <w:lang w:val="en-US"/>
        </w:rPr>
        <w:t xml:space="preserve"> administrative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te</w:t>
      </w:r>
      <w:proofErr w:type="spellEnd"/>
      <w:r w:rsidR="00B945E9"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="00B945E9" w:rsidRPr="00C97E77">
        <w:rPr>
          <w:rFonts w:eastAsiaTheme="minorHAnsi"/>
          <w:color w:val="000000"/>
          <w:lang w:val="en-US"/>
        </w:rPr>
        <w:t>sektorit</w:t>
      </w:r>
      <w:proofErr w:type="spellEnd"/>
      <w:r w:rsidR="00B945E9"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Organizon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menaxhon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punen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sektorit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r w:rsidRPr="00C97E77">
        <w:rPr>
          <w:rFonts w:eastAsiaTheme="minorHAnsi"/>
          <w:color w:val="000000"/>
          <w:lang w:val="en-US"/>
        </w:rPr>
        <w:lastRenderedPageBreak/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Koordinon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, </w:t>
      </w:r>
      <w:proofErr w:type="spellStart"/>
      <w:r w:rsidRPr="00C97E77">
        <w:rPr>
          <w:rFonts w:eastAsiaTheme="minorHAnsi"/>
          <w:color w:val="000000"/>
          <w:lang w:val="en-US"/>
        </w:rPr>
        <w:t>rekomandon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propozon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ne </w:t>
      </w:r>
      <w:proofErr w:type="spellStart"/>
      <w:r w:rsidRPr="00C97E77">
        <w:rPr>
          <w:rFonts w:eastAsiaTheme="minorHAnsi"/>
          <w:color w:val="000000"/>
          <w:lang w:val="en-US"/>
        </w:rPr>
        <w:t>funksion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permiresimit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punes</w:t>
      </w:r>
      <w:proofErr w:type="spellEnd"/>
      <w:r w:rsidRPr="00C97E77">
        <w:rPr>
          <w:rFonts w:eastAsiaTheme="minorHAnsi"/>
          <w:color w:val="000000"/>
          <w:lang w:val="en-US"/>
        </w:rPr>
        <w:t>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Udhezon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, </w:t>
      </w:r>
      <w:proofErr w:type="spellStart"/>
      <w:r w:rsidRPr="00C97E77">
        <w:rPr>
          <w:rFonts w:eastAsiaTheme="minorHAnsi"/>
          <w:color w:val="000000"/>
          <w:lang w:val="en-US"/>
        </w:rPr>
        <w:t>keshillon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ndjek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nga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afer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zbatimin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detyrave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stafit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varesi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Analizon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zgjidh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probleme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ne </w:t>
      </w:r>
      <w:proofErr w:type="spellStart"/>
      <w:r w:rsidRPr="00C97E77">
        <w:rPr>
          <w:rFonts w:eastAsiaTheme="minorHAnsi"/>
          <w:color w:val="000000"/>
          <w:lang w:val="en-US"/>
        </w:rPr>
        <w:t>perputhje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me </w:t>
      </w:r>
      <w:proofErr w:type="spellStart"/>
      <w:r w:rsidRPr="00C97E77">
        <w:rPr>
          <w:rFonts w:eastAsiaTheme="minorHAnsi"/>
          <w:color w:val="000000"/>
          <w:lang w:val="en-US"/>
        </w:rPr>
        <w:t>procedurat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, ben </w:t>
      </w:r>
      <w:proofErr w:type="spellStart"/>
      <w:r w:rsidRPr="00C97E77">
        <w:rPr>
          <w:rFonts w:eastAsiaTheme="minorHAnsi"/>
          <w:color w:val="000000"/>
          <w:lang w:val="en-US"/>
        </w:rPr>
        <w:t>interpretimin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politikave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duke </w:t>
      </w:r>
      <w:proofErr w:type="spellStart"/>
      <w:r w:rsidRPr="00C97E77">
        <w:rPr>
          <w:rFonts w:eastAsiaTheme="minorHAnsi"/>
          <w:color w:val="000000"/>
          <w:lang w:val="en-US"/>
        </w:rPr>
        <w:t>perdorur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njohuri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thella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profesionale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. </w:t>
      </w:r>
      <w:proofErr w:type="spellStart"/>
      <w:r w:rsidRPr="00C97E77">
        <w:rPr>
          <w:rFonts w:eastAsiaTheme="minorHAnsi"/>
          <w:color w:val="000000"/>
          <w:lang w:val="en-US"/>
        </w:rPr>
        <w:t>Pergjigjet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per </w:t>
      </w:r>
      <w:proofErr w:type="spellStart"/>
      <w:r w:rsidRPr="00C97E77">
        <w:rPr>
          <w:rFonts w:eastAsiaTheme="minorHAnsi"/>
          <w:color w:val="000000"/>
          <w:lang w:val="en-US"/>
        </w:rPr>
        <w:t>korigjimin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çdo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shmangieje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konsiderueshme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qe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mund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ekzistoje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mes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objektivave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rezultatit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faktik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lang w:val="en-US"/>
        </w:rPr>
        <w:t>Bazuar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në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vendimet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Këshillit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Bashkisë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dhe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aktet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tjera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ligjore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në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fuqi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ushtron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kompetencat</w:t>
      </w:r>
      <w:proofErr w:type="spellEnd"/>
      <w:r w:rsidRPr="00C97E77">
        <w:rPr>
          <w:rFonts w:eastAsiaTheme="minorHAnsi"/>
          <w:lang w:val="en-US"/>
        </w:rPr>
        <w:t xml:space="preserve">, duke </w:t>
      </w:r>
      <w:proofErr w:type="spellStart"/>
      <w:r w:rsidRPr="00C97E77">
        <w:rPr>
          <w:rFonts w:eastAsiaTheme="minorHAnsi"/>
          <w:lang w:val="en-US"/>
        </w:rPr>
        <w:t>zbatuar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menyrat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vleresimit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riskut</w:t>
      </w:r>
      <w:proofErr w:type="spellEnd"/>
      <w:r w:rsidRPr="00C97E77">
        <w:rPr>
          <w:rFonts w:eastAsiaTheme="minorHAnsi"/>
          <w:lang w:val="en-US"/>
        </w:rPr>
        <w:t xml:space="preserve">, per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percaktuar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dhe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zbatuar</w:t>
      </w:r>
      <w:proofErr w:type="spellEnd"/>
      <w:r w:rsidRPr="00C97E77">
        <w:rPr>
          <w:rFonts w:eastAsiaTheme="minorHAnsi"/>
          <w:lang w:val="en-US"/>
        </w:rPr>
        <w:t xml:space="preserve"> ne </w:t>
      </w:r>
      <w:proofErr w:type="spellStart"/>
      <w:r w:rsidRPr="00C97E77">
        <w:rPr>
          <w:rFonts w:eastAsiaTheme="minorHAnsi"/>
          <w:lang w:val="en-US"/>
        </w:rPr>
        <w:t>çdo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rast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masen</w:t>
      </w:r>
      <w:proofErr w:type="spellEnd"/>
      <w:r w:rsidRPr="00C97E77">
        <w:rPr>
          <w:rFonts w:eastAsiaTheme="minorHAnsi"/>
          <w:lang w:val="en-US"/>
        </w:rPr>
        <w:t xml:space="preserve"> me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pershtatshme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mbledhjes</w:t>
      </w:r>
      <w:proofErr w:type="spellEnd"/>
      <w:r w:rsidRPr="00C97E77">
        <w:rPr>
          <w:rFonts w:eastAsiaTheme="minorHAnsi"/>
          <w:lang w:val="en-US"/>
        </w:rPr>
        <w:t xml:space="preserve"> me force ne </w:t>
      </w:r>
      <w:proofErr w:type="spellStart"/>
      <w:r w:rsidRPr="00C97E77">
        <w:rPr>
          <w:rFonts w:eastAsiaTheme="minorHAnsi"/>
          <w:lang w:val="en-US"/>
        </w:rPr>
        <w:t>menyre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qe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maksimizoje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mbledhjen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detyrimeve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tatimore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papaguara</w:t>
      </w:r>
      <w:proofErr w:type="spellEnd"/>
      <w:r w:rsidRPr="00C97E77">
        <w:rPr>
          <w:rFonts w:eastAsiaTheme="minorHAnsi"/>
          <w:lang w:val="en-US"/>
        </w:rPr>
        <w:t>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lang w:val="en-US"/>
        </w:rPr>
        <w:t>Mbi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bazën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dhenave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që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disponon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krijon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një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regjistër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elektronik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dhe</w:t>
      </w:r>
      <w:proofErr w:type="spellEnd"/>
      <w:r w:rsidRPr="00C97E77">
        <w:rPr>
          <w:rFonts w:eastAsiaTheme="minorHAnsi"/>
          <w:lang w:val="en-US"/>
        </w:rPr>
        <w:t xml:space="preserve"> manual me </w:t>
      </w:r>
      <w:proofErr w:type="spellStart"/>
      <w:r w:rsidRPr="00C97E77">
        <w:rPr>
          <w:rFonts w:eastAsiaTheme="minorHAnsi"/>
          <w:lang w:val="en-US"/>
        </w:rPr>
        <w:t>të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gjitha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dhënat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për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subjektet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debitore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emrin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pronarit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emrin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administratorit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nipt</w:t>
      </w:r>
      <w:proofErr w:type="spellEnd"/>
      <w:r w:rsidRPr="00C97E77">
        <w:rPr>
          <w:rFonts w:eastAsiaTheme="minorHAnsi"/>
          <w:lang w:val="en-US"/>
        </w:rPr>
        <w:t xml:space="preserve">-in e </w:t>
      </w:r>
      <w:proofErr w:type="spellStart"/>
      <w:r w:rsidRPr="00C97E77">
        <w:rPr>
          <w:rFonts w:eastAsiaTheme="minorHAnsi"/>
          <w:lang w:val="en-US"/>
        </w:rPr>
        <w:t>subjektit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adresen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zhvillimit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aktivitetit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adresen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banimit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administratorit</w:t>
      </w:r>
      <w:proofErr w:type="spellEnd"/>
      <w:r w:rsidRPr="00C97E77">
        <w:rPr>
          <w:rFonts w:eastAsiaTheme="minorHAnsi"/>
          <w:lang w:val="en-US"/>
        </w:rPr>
        <w:t xml:space="preserve">, </w:t>
      </w:r>
      <w:proofErr w:type="spellStart"/>
      <w:r w:rsidRPr="00C97E77">
        <w:rPr>
          <w:rFonts w:eastAsiaTheme="minorHAnsi"/>
          <w:lang w:val="en-US"/>
        </w:rPr>
        <w:t>si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dhe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vleren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totale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detyrimit</w:t>
      </w:r>
      <w:proofErr w:type="spellEnd"/>
      <w:r w:rsidRPr="00C97E77">
        <w:rPr>
          <w:rFonts w:eastAsiaTheme="minorHAnsi"/>
          <w:lang w:val="en-US"/>
        </w:rPr>
        <w:t xml:space="preserve"> (</w:t>
      </w:r>
      <w:proofErr w:type="spellStart"/>
      <w:r w:rsidRPr="00C97E77">
        <w:rPr>
          <w:rFonts w:eastAsiaTheme="minorHAnsi"/>
          <w:lang w:val="en-US"/>
        </w:rPr>
        <w:t>analizuar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kjo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sipas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seciles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takse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apo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tarife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qe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subjekti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ka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detyrim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për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paguar</w:t>
      </w:r>
      <w:proofErr w:type="spellEnd"/>
      <w:r w:rsidRPr="00C97E77">
        <w:rPr>
          <w:rFonts w:eastAsiaTheme="minorHAnsi"/>
          <w:lang w:val="en-US"/>
        </w:rPr>
        <w:t>).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lang w:val="en-US"/>
        </w:rPr>
      </w:pPr>
      <w:proofErr w:type="spellStart"/>
      <w:r w:rsidRPr="00C97E77">
        <w:rPr>
          <w:rFonts w:eastAsiaTheme="minorHAnsi"/>
          <w:lang w:val="en-US"/>
        </w:rPr>
        <w:t>Kordinon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punën</w:t>
      </w:r>
      <w:proofErr w:type="spellEnd"/>
      <w:r w:rsidRPr="00C97E77">
        <w:rPr>
          <w:rFonts w:eastAsiaTheme="minorHAnsi"/>
          <w:lang w:val="en-US"/>
        </w:rPr>
        <w:t xml:space="preserve"> me </w:t>
      </w:r>
      <w:proofErr w:type="spellStart"/>
      <w:r w:rsidRPr="00C97E77">
        <w:rPr>
          <w:rFonts w:eastAsiaTheme="minorHAnsi"/>
          <w:lang w:val="en-US"/>
        </w:rPr>
        <w:t>drejtorinë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juridike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për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ndjekjen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hapave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tjera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ligjorë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për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vjeljen</w:t>
      </w:r>
      <w:proofErr w:type="spellEnd"/>
      <w:r w:rsidRPr="00C97E77">
        <w:rPr>
          <w:rFonts w:eastAsiaTheme="minorHAnsi"/>
          <w:lang w:val="en-US"/>
        </w:rPr>
        <w:t xml:space="preserve"> e </w:t>
      </w:r>
      <w:proofErr w:type="spellStart"/>
      <w:r w:rsidRPr="00C97E77">
        <w:rPr>
          <w:rFonts w:eastAsiaTheme="minorHAnsi"/>
          <w:lang w:val="en-US"/>
        </w:rPr>
        <w:t>detyrimeve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nga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subjektet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debitore</w:t>
      </w:r>
      <w:proofErr w:type="spellEnd"/>
      <w:r w:rsidRPr="00C97E77">
        <w:rPr>
          <w:rFonts w:eastAsiaTheme="minorHAnsi"/>
          <w:lang w:val="en-US"/>
        </w:rPr>
        <w:t xml:space="preserve"> per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cilat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ka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ushtruar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te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gjitha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kompetencat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qëi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jep</w:t>
      </w:r>
      <w:proofErr w:type="spellEnd"/>
      <w:r w:rsidRPr="00C97E77">
        <w:rPr>
          <w:rFonts w:eastAsiaTheme="minorHAnsi"/>
          <w:lang w:val="en-US"/>
        </w:rPr>
        <w:t xml:space="preserve"> </w:t>
      </w:r>
      <w:proofErr w:type="spellStart"/>
      <w:r w:rsidRPr="00C97E77">
        <w:rPr>
          <w:rFonts w:eastAsiaTheme="minorHAnsi"/>
          <w:lang w:val="en-US"/>
        </w:rPr>
        <w:t>ligji</w:t>
      </w:r>
      <w:proofErr w:type="spellEnd"/>
      <w:r w:rsidRPr="00C97E77">
        <w:rPr>
          <w:rFonts w:eastAsiaTheme="minorHAnsi"/>
          <w:lang w:val="en-US"/>
        </w:rPr>
        <w:t xml:space="preserve">. </w:t>
      </w:r>
    </w:p>
    <w:p w:rsidR="00B945E9" w:rsidRPr="00C97E77" w:rsidRDefault="00B945E9" w:rsidP="00B945E9">
      <w:pPr>
        <w:spacing w:after="200" w:line="360" w:lineRule="auto"/>
        <w:ind w:left="720"/>
        <w:contextualSpacing/>
        <w:rPr>
          <w:rFonts w:eastAsiaTheme="minorHAnsi"/>
          <w:color w:val="000000"/>
          <w:lang w:val="en-US"/>
        </w:rPr>
      </w:pP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Koordinon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bashkepunimin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me </w:t>
      </w:r>
      <w:proofErr w:type="spellStart"/>
      <w:r w:rsidRPr="00C97E77">
        <w:rPr>
          <w:rFonts w:eastAsiaTheme="minorHAnsi"/>
          <w:color w:val="000000"/>
          <w:lang w:val="en-US"/>
        </w:rPr>
        <w:t>struktura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tjera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Ndjek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nga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afer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zbatimin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detyrave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stafit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qe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ka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varesi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Shperndan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punen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mes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proofErr w:type="gramStart"/>
      <w:r w:rsidRPr="00C97E77">
        <w:rPr>
          <w:rFonts w:eastAsiaTheme="minorHAnsi"/>
          <w:color w:val="000000"/>
          <w:lang w:val="en-US"/>
        </w:rPr>
        <w:t>specialisteve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proofErr w:type="gram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sektorit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Kryen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analiza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proofErr w:type="gramStart"/>
      <w:r w:rsidRPr="00C97E77">
        <w:rPr>
          <w:rFonts w:eastAsiaTheme="minorHAnsi"/>
          <w:color w:val="000000"/>
          <w:lang w:val="en-US"/>
        </w:rPr>
        <w:t>periodike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proofErr w:type="gram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punes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ne </w:t>
      </w:r>
      <w:proofErr w:type="spellStart"/>
      <w:r w:rsidRPr="00C97E77">
        <w:rPr>
          <w:rFonts w:eastAsiaTheme="minorHAnsi"/>
          <w:color w:val="000000"/>
          <w:lang w:val="en-US"/>
        </w:rPr>
        <w:t>lidhje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me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ardhurat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qe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arketohen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nga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borxhi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I </w:t>
      </w:r>
      <w:proofErr w:type="spellStart"/>
      <w:r w:rsidRPr="00C97E77">
        <w:rPr>
          <w:rFonts w:eastAsiaTheme="minorHAnsi"/>
          <w:color w:val="000000"/>
          <w:lang w:val="en-US"/>
        </w:rPr>
        <w:t>keq</w:t>
      </w:r>
      <w:proofErr w:type="spellEnd"/>
      <w:r w:rsidRPr="00C97E77">
        <w:rPr>
          <w:rFonts w:eastAsiaTheme="minorHAnsi"/>
          <w:color w:val="000000"/>
          <w:lang w:val="en-US"/>
        </w:rPr>
        <w:t>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Ndjek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gjitha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rruget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ligjore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per </w:t>
      </w:r>
      <w:proofErr w:type="spellStart"/>
      <w:r w:rsidRPr="00C97E77">
        <w:rPr>
          <w:rFonts w:eastAsiaTheme="minorHAnsi"/>
          <w:color w:val="000000"/>
          <w:lang w:val="en-US"/>
        </w:rPr>
        <w:t>arketimin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borxhit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keq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detyrimeve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tjera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prapambetura</w:t>
      </w:r>
      <w:proofErr w:type="spellEnd"/>
      <w:r w:rsidRPr="00C97E77">
        <w:rPr>
          <w:rFonts w:eastAsiaTheme="minorHAnsi"/>
          <w:color w:val="000000"/>
          <w:lang w:val="en-US"/>
        </w:rPr>
        <w:t>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Harton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plane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raporte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mujore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vjetore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sektorit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me </w:t>
      </w:r>
      <w:proofErr w:type="spellStart"/>
      <w:r w:rsidRPr="00C97E77">
        <w:rPr>
          <w:rFonts w:eastAsiaTheme="minorHAnsi"/>
          <w:color w:val="000000"/>
          <w:lang w:val="en-US"/>
        </w:rPr>
        <w:t>qellim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qe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shihet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realizimi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i</w:t>
      </w:r>
      <w:proofErr w:type="spellEnd"/>
      <w:r w:rsidRPr="00C97E77">
        <w:rPr>
          <w:rFonts w:eastAsiaTheme="minorHAnsi"/>
          <w:color w:val="000000"/>
          <w:lang w:val="en-US"/>
        </w:rPr>
        <w:br/>
      </w:r>
      <w:proofErr w:type="spellStart"/>
      <w:r w:rsidRPr="00C97E77">
        <w:rPr>
          <w:rFonts w:eastAsiaTheme="minorHAnsi"/>
          <w:color w:val="000000"/>
          <w:lang w:val="en-US"/>
        </w:rPr>
        <w:t>objektivave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meren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masa per </w:t>
      </w:r>
      <w:proofErr w:type="spellStart"/>
      <w:r w:rsidRPr="00C97E77">
        <w:rPr>
          <w:rFonts w:eastAsiaTheme="minorHAnsi"/>
          <w:color w:val="000000"/>
          <w:lang w:val="en-US"/>
        </w:rPr>
        <w:t>permiresime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ne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ardhmen</w:t>
      </w:r>
      <w:proofErr w:type="spellEnd"/>
      <w:r w:rsidRPr="00C97E77">
        <w:rPr>
          <w:rFonts w:eastAsiaTheme="minorHAnsi"/>
          <w:color w:val="000000"/>
          <w:lang w:val="en-US"/>
        </w:rPr>
        <w:t>;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Kryen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analiza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raporte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mujore</w:t>
      </w:r>
      <w:proofErr w:type="spellEnd"/>
      <w:r w:rsidRPr="00C97E77">
        <w:rPr>
          <w:rFonts w:eastAsiaTheme="minorHAnsi"/>
          <w:color w:val="000000"/>
          <w:lang w:val="en-US"/>
        </w:rPr>
        <w:t>, 3 (</w:t>
      </w:r>
      <w:proofErr w:type="spellStart"/>
      <w:r w:rsidRPr="00C97E77">
        <w:rPr>
          <w:rFonts w:eastAsiaTheme="minorHAnsi"/>
          <w:color w:val="000000"/>
          <w:lang w:val="en-US"/>
        </w:rPr>
        <w:t>tre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) </w:t>
      </w:r>
      <w:proofErr w:type="spellStart"/>
      <w:r w:rsidRPr="00C97E77">
        <w:rPr>
          <w:rFonts w:eastAsiaTheme="minorHAnsi"/>
          <w:color w:val="000000"/>
          <w:lang w:val="en-US"/>
        </w:rPr>
        <w:t>mujore</w:t>
      </w:r>
      <w:proofErr w:type="spellEnd"/>
      <w:r w:rsidRPr="00C97E77">
        <w:rPr>
          <w:rFonts w:eastAsiaTheme="minorHAnsi"/>
          <w:color w:val="000000"/>
          <w:lang w:val="en-US"/>
        </w:rPr>
        <w:t>, 6 (</w:t>
      </w:r>
      <w:proofErr w:type="spellStart"/>
      <w:r w:rsidRPr="00C97E77">
        <w:rPr>
          <w:rFonts w:eastAsiaTheme="minorHAnsi"/>
          <w:color w:val="000000"/>
          <w:lang w:val="en-US"/>
        </w:rPr>
        <w:t>gjashtë</w:t>
      </w:r>
      <w:proofErr w:type="spellEnd"/>
      <w:r w:rsidRPr="00C97E77">
        <w:rPr>
          <w:rFonts w:eastAsiaTheme="minorHAnsi"/>
          <w:color w:val="000000"/>
          <w:lang w:val="en-US"/>
        </w:rPr>
        <w:t xml:space="preserve">) </w:t>
      </w:r>
      <w:proofErr w:type="spellStart"/>
      <w:r w:rsidRPr="00C97E77">
        <w:rPr>
          <w:rFonts w:eastAsiaTheme="minorHAnsi"/>
          <w:color w:val="000000"/>
          <w:lang w:val="en-US"/>
        </w:rPr>
        <w:t>mujore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vjetore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mbi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ecurinë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sektorit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i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paraqet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pranë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eprorit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direkt</w:t>
      </w:r>
      <w:proofErr w:type="spellEnd"/>
      <w:r w:rsidRPr="00C97E77">
        <w:rPr>
          <w:rFonts w:eastAsiaTheme="minorHAnsi"/>
          <w:color w:val="000000"/>
          <w:lang w:val="en-US"/>
        </w:rPr>
        <w:t>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Propozon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ide </w:t>
      </w:r>
      <w:proofErr w:type="spellStart"/>
      <w:r w:rsidRPr="00C97E77">
        <w:rPr>
          <w:rFonts w:eastAsiaTheme="minorHAnsi"/>
          <w:color w:val="000000"/>
          <w:lang w:val="en-US"/>
        </w:rPr>
        <w:t>dhe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mënyra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sa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më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efikase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për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mbledhjen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detyrimeve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prapambetura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duke </w:t>
      </w:r>
      <w:proofErr w:type="spellStart"/>
      <w:r w:rsidRPr="00C97E77">
        <w:rPr>
          <w:rFonts w:eastAsiaTheme="minorHAnsi"/>
          <w:color w:val="000000"/>
          <w:lang w:val="en-US"/>
        </w:rPr>
        <w:t>bashkëpunuar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me </w:t>
      </w:r>
      <w:proofErr w:type="spellStart"/>
      <w:r w:rsidRPr="00C97E77">
        <w:rPr>
          <w:rFonts w:eastAsiaTheme="minorHAnsi"/>
          <w:color w:val="000000"/>
          <w:lang w:val="en-US"/>
        </w:rPr>
        <w:t>sektorët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tjerë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të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drejtorisë</w:t>
      </w:r>
      <w:proofErr w:type="spellEnd"/>
      <w:r w:rsidRPr="00C97E77">
        <w:rPr>
          <w:rFonts w:eastAsiaTheme="minorHAnsi"/>
          <w:color w:val="000000"/>
          <w:lang w:val="en-US"/>
        </w:rPr>
        <w:t>.</w:t>
      </w:r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Evidenton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ne </w:t>
      </w:r>
      <w:proofErr w:type="spellStart"/>
      <w:r w:rsidRPr="00C97E77">
        <w:rPr>
          <w:rFonts w:eastAsiaTheme="minorHAnsi"/>
          <w:color w:val="000000"/>
          <w:lang w:val="en-US"/>
        </w:rPr>
        <w:t>menyre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periodike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listat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e </w:t>
      </w:r>
      <w:proofErr w:type="spellStart"/>
      <w:r w:rsidRPr="00C97E77">
        <w:rPr>
          <w:rFonts w:eastAsiaTheme="minorHAnsi"/>
          <w:color w:val="000000"/>
          <w:lang w:val="en-US"/>
        </w:rPr>
        <w:t>debitoreve</w:t>
      </w:r>
      <w:proofErr w:type="spellEnd"/>
    </w:p>
    <w:p w:rsidR="00B945E9" w:rsidRPr="00C97E77" w:rsidRDefault="00B945E9" w:rsidP="00B945E9">
      <w:pPr>
        <w:numPr>
          <w:ilvl w:val="0"/>
          <w:numId w:val="3"/>
        </w:numPr>
        <w:spacing w:after="200" w:line="360" w:lineRule="auto"/>
        <w:contextualSpacing/>
        <w:rPr>
          <w:rFonts w:eastAsiaTheme="minorHAnsi"/>
          <w:color w:val="000000"/>
          <w:lang w:val="en-US"/>
        </w:rPr>
      </w:pPr>
      <w:proofErr w:type="spellStart"/>
      <w:r w:rsidRPr="00C97E77">
        <w:rPr>
          <w:rFonts w:eastAsiaTheme="minorHAnsi"/>
          <w:color w:val="000000"/>
          <w:lang w:val="en-US"/>
        </w:rPr>
        <w:t>Kryen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cdo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detyre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tjeter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me </w:t>
      </w:r>
      <w:proofErr w:type="spellStart"/>
      <w:r w:rsidRPr="00C97E77">
        <w:rPr>
          <w:rFonts w:eastAsiaTheme="minorHAnsi"/>
          <w:color w:val="000000"/>
          <w:lang w:val="en-US"/>
        </w:rPr>
        <w:t>urdher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te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eprorit</w:t>
      </w:r>
      <w:proofErr w:type="spellEnd"/>
      <w:r w:rsidRPr="00C97E77">
        <w:rPr>
          <w:rFonts w:eastAsiaTheme="minorHAnsi"/>
          <w:color w:val="000000"/>
          <w:lang w:val="en-US"/>
        </w:rPr>
        <w:t xml:space="preserve"> </w:t>
      </w:r>
      <w:proofErr w:type="spellStart"/>
      <w:r w:rsidRPr="00C97E77">
        <w:rPr>
          <w:rFonts w:eastAsiaTheme="minorHAnsi"/>
          <w:color w:val="000000"/>
          <w:lang w:val="en-US"/>
        </w:rPr>
        <w:t>direkt</w:t>
      </w:r>
      <w:proofErr w:type="spellEnd"/>
      <w:r w:rsidRPr="00C97E77">
        <w:rPr>
          <w:rFonts w:eastAsiaTheme="minorHAnsi"/>
          <w:color w:val="000000"/>
          <w:lang w:val="en-US"/>
        </w:rPr>
        <w:t>.</w:t>
      </w:r>
    </w:p>
    <w:p w:rsidR="00B945E9" w:rsidRPr="00C97E77" w:rsidRDefault="00B945E9" w:rsidP="00B945E9">
      <w:pPr>
        <w:spacing w:after="200" w:line="360" w:lineRule="auto"/>
        <w:rPr>
          <w:rFonts w:eastAsiaTheme="minorHAnsi"/>
          <w:color w:val="000000"/>
          <w:lang w:val="en-US"/>
        </w:rPr>
      </w:pPr>
    </w:p>
    <w:p w:rsidR="00C60211" w:rsidRDefault="00C60211" w:rsidP="00B945E9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1516F3">
        <w:rPr>
          <w:rFonts w:ascii="Times New Roman" w:hAnsi="Times New Roman"/>
          <w:sz w:val="24"/>
          <w:szCs w:val="24"/>
        </w:rPr>
        <w:lastRenderedPageBreak/>
        <w:t>;</w:t>
      </w:r>
    </w:p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Default="00C60211" w:rsidP="00C60211">
      <w:pPr>
        <w:spacing w:after="120" w:line="360" w:lineRule="auto"/>
        <w:jc w:val="both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B945E9">
        <w:t xml:space="preserve">Ekonomike </w:t>
      </w:r>
      <w:r>
        <w:t xml:space="preserve"> 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>
        <w:t xml:space="preserve"> </w:t>
      </w: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t xml:space="preserve">Në datën </w:t>
      </w:r>
      <w:r w:rsidR="00351B4E">
        <w:rPr>
          <w:color w:val="FF0000"/>
        </w:rPr>
        <w:t>19.06.2023</w:t>
      </w:r>
      <w:r>
        <w:rPr>
          <w:color w:val="FF0000"/>
        </w:rPr>
        <w:t xml:space="preserve">  </w:t>
      </w:r>
      <w:r w:rsidRPr="008A728A"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B945E9">
        <w:rPr>
          <w:b/>
        </w:rPr>
        <w:t>Borxhit dhe Detyrimeve te papaguara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lastRenderedPageBreak/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B945E9" w:rsidRPr="00B945E9" w:rsidRDefault="00B945E9" w:rsidP="00B945E9">
      <w:pPr>
        <w:contextualSpacing/>
        <w:jc w:val="both"/>
        <w:rPr>
          <w:rFonts w:eastAsiaTheme="minorEastAsia"/>
          <w:lang w:val="en-US" w:eastAsia="en-US"/>
        </w:rPr>
      </w:pPr>
      <w:r w:rsidRPr="00B945E9">
        <w:rPr>
          <w:rFonts w:eastAsiaTheme="minorEastAsia"/>
          <w:lang w:val="en-US" w:eastAsia="en-US"/>
        </w:rPr>
        <w:t xml:space="preserve">7. </w:t>
      </w:r>
      <w:proofErr w:type="spellStart"/>
      <w:r w:rsidRPr="00B945E9">
        <w:rPr>
          <w:lang w:val="en-US" w:eastAsia="en-US"/>
        </w:rPr>
        <w:t>Ligji</w:t>
      </w:r>
      <w:proofErr w:type="spellEnd"/>
      <w:r w:rsidRPr="00B945E9">
        <w:rPr>
          <w:lang w:val="en-US" w:eastAsia="en-US"/>
        </w:rPr>
        <w:t xml:space="preserve"> Nr.9632/30.10.2006 “Per </w:t>
      </w:r>
      <w:proofErr w:type="spellStart"/>
      <w:r w:rsidRPr="00B945E9">
        <w:rPr>
          <w:lang w:val="en-US" w:eastAsia="en-US"/>
        </w:rPr>
        <w:t>Sistemin</w:t>
      </w:r>
      <w:proofErr w:type="spellEnd"/>
      <w:r w:rsidRPr="00B945E9">
        <w:rPr>
          <w:lang w:val="en-US" w:eastAsia="en-US"/>
        </w:rPr>
        <w:t xml:space="preserve"> e </w:t>
      </w:r>
      <w:proofErr w:type="spellStart"/>
      <w:r w:rsidRPr="00B945E9">
        <w:rPr>
          <w:lang w:val="en-US" w:eastAsia="en-US"/>
        </w:rPr>
        <w:t>Taksave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Vendore</w:t>
      </w:r>
      <w:proofErr w:type="spellEnd"/>
      <w:r w:rsidRPr="00B945E9">
        <w:rPr>
          <w:lang w:val="en-US" w:eastAsia="en-US"/>
        </w:rPr>
        <w:t>”;</w:t>
      </w:r>
    </w:p>
    <w:p w:rsidR="00B945E9" w:rsidRPr="00B945E9" w:rsidRDefault="00B945E9" w:rsidP="00B945E9">
      <w:pPr>
        <w:contextualSpacing/>
        <w:jc w:val="both"/>
        <w:rPr>
          <w:rFonts w:eastAsiaTheme="minorEastAsia"/>
          <w:lang w:val="en-US" w:eastAsia="en-US"/>
        </w:rPr>
      </w:pPr>
      <w:r w:rsidRPr="00B945E9">
        <w:rPr>
          <w:rFonts w:eastAsiaTheme="minorEastAsia"/>
          <w:lang w:val="en-US" w:eastAsia="en-US"/>
        </w:rPr>
        <w:t xml:space="preserve">8. </w:t>
      </w:r>
      <w:proofErr w:type="spellStart"/>
      <w:r w:rsidRPr="00B945E9">
        <w:rPr>
          <w:lang w:val="en-US" w:eastAsia="en-US"/>
        </w:rPr>
        <w:t>Ligji</w:t>
      </w:r>
      <w:proofErr w:type="spellEnd"/>
      <w:r w:rsidRPr="00B945E9">
        <w:rPr>
          <w:lang w:val="en-US" w:eastAsia="en-US"/>
        </w:rPr>
        <w:t xml:space="preserve"> Nr.9920/19.05.2008 “Per </w:t>
      </w:r>
      <w:proofErr w:type="spellStart"/>
      <w:r w:rsidRPr="00B945E9">
        <w:rPr>
          <w:lang w:val="en-US" w:eastAsia="en-US"/>
        </w:rPr>
        <w:t>Proçedurat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Tatimore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në</w:t>
      </w:r>
      <w:proofErr w:type="spellEnd"/>
      <w:r w:rsidRPr="00B945E9">
        <w:rPr>
          <w:lang w:val="en-US" w:eastAsia="en-US"/>
        </w:rPr>
        <w:t xml:space="preserve"> </w:t>
      </w:r>
      <w:proofErr w:type="spellStart"/>
      <w:r w:rsidRPr="00B945E9">
        <w:rPr>
          <w:lang w:val="en-US" w:eastAsia="en-US"/>
        </w:rPr>
        <w:t>Republikën</w:t>
      </w:r>
      <w:proofErr w:type="spellEnd"/>
      <w:r w:rsidRPr="00B945E9">
        <w:rPr>
          <w:lang w:val="en-US" w:eastAsia="en-US"/>
        </w:rPr>
        <w:t xml:space="preserve"> e </w:t>
      </w:r>
      <w:proofErr w:type="spellStart"/>
      <w:r w:rsidRPr="00B945E9">
        <w:rPr>
          <w:lang w:val="en-US" w:eastAsia="en-US"/>
        </w:rPr>
        <w:t>Shqipërisë</w:t>
      </w:r>
      <w:proofErr w:type="spellEnd"/>
      <w:r w:rsidRPr="00B945E9">
        <w:rPr>
          <w:lang w:val="en-US" w:eastAsia="en-US"/>
        </w:rPr>
        <w:t>”;</w:t>
      </w:r>
    </w:p>
    <w:p w:rsidR="00B945E9" w:rsidRPr="00B945E9" w:rsidRDefault="00B945E9" w:rsidP="00B945E9">
      <w:pPr>
        <w:contextualSpacing/>
        <w:jc w:val="both"/>
        <w:rPr>
          <w:rFonts w:eastAsiaTheme="minorEastAsia"/>
          <w:color w:val="000000" w:themeColor="text1"/>
          <w:shd w:val="clear" w:color="auto" w:fill="FFFFFF"/>
          <w:lang w:val="en-US" w:eastAsia="en-US"/>
        </w:rPr>
      </w:pPr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9.Njohuritë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mbi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Ligjin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nr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. 9936,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datë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26.06.2008, "Për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menaxhimin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e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sistemit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buxhetor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në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Republikën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e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Shqipërisë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",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i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 xml:space="preserve"> </w:t>
      </w:r>
      <w:proofErr w:type="spellStart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ndryshuar</w:t>
      </w:r>
      <w:proofErr w:type="spellEnd"/>
      <w:r w:rsidRPr="00B945E9">
        <w:rPr>
          <w:rFonts w:eastAsiaTheme="minorEastAsia"/>
          <w:color w:val="000000" w:themeColor="text1"/>
          <w:shd w:val="clear" w:color="auto" w:fill="FFFFFF"/>
          <w:lang w:val="en-US" w:eastAsia="en-US"/>
        </w:rPr>
        <w:t>.</w:t>
      </w:r>
    </w:p>
    <w:p w:rsidR="00C60211" w:rsidRDefault="00C60211" w:rsidP="00C60211">
      <w:pPr>
        <w:shd w:val="clear" w:color="auto" w:fill="FFFFFF"/>
        <w:jc w:val="both"/>
        <w:rPr>
          <w:b/>
        </w:rPr>
      </w:pPr>
    </w:p>
    <w:p w:rsidR="00C60211" w:rsidRPr="00861382" w:rsidRDefault="00C60211" w:rsidP="00C60211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lastRenderedPageBreak/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 w:rsidR="00351B4E">
        <w:rPr>
          <w:b/>
          <w:color w:val="FF0000"/>
        </w:rPr>
        <w:t>30.06.2023</w:t>
      </w:r>
      <w:bookmarkStart w:id="0" w:name="_GoBack"/>
      <w:bookmarkEnd w:id="0"/>
      <w:r>
        <w:rPr>
          <w:b/>
          <w:color w:val="FF0000"/>
        </w:rPr>
        <w:t xml:space="preserve">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lastRenderedPageBreak/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351B4E"/>
    <w:rsid w:val="00386591"/>
    <w:rsid w:val="003979B7"/>
    <w:rsid w:val="003D0730"/>
    <w:rsid w:val="00584A31"/>
    <w:rsid w:val="005E0E68"/>
    <w:rsid w:val="0063676F"/>
    <w:rsid w:val="00655FAE"/>
    <w:rsid w:val="006603AB"/>
    <w:rsid w:val="007C0A91"/>
    <w:rsid w:val="00887E5B"/>
    <w:rsid w:val="008C440F"/>
    <w:rsid w:val="00910B45"/>
    <w:rsid w:val="009330AF"/>
    <w:rsid w:val="00966AB0"/>
    <w:rsid w:val="00997C82"/>
    <w:rsid w:val="00A26985"/>
    <w:rsid w:val="00B40423"/>
    <w:rsid w:val="00B945E9"/>
    <w:rsid w:val="00BA73DD"/>
    <w:rsid w:val="00BD54B2"/>
    <w:rsid w:val="00C60211"/>
    <w:rsid w:val="00D014DC"/>
    <w:rsid w:val="00D97155"/>
    <w:rsid w:val="00E22D63"/>
    <w:rsid w:val="00EA6F0D"/>
    <w:rsid w:val="00EB0BF7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179DE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3</cp:revision>
  <cp:lastPrinted>2023-05-22T08:58:00Z</cp:lastPrinted>
  <dcterms:created xsi:type="dcterms:W3CDTF">2023-06-05T08:55:00Z</dcterms:created>
  <dcterms:modified xsi:type="dcterms:W3CDTF">2023-06-05T11:51:00Z</dcterms:modified>
</cp:coreProperties>
</file>