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2019</w:t>
      </w:r>
      <w:r w:rsidR="00576919">
        <w:rPr>
          <w:rFonts w:ascii="Times New Roman" w:hAnsi="Times New Roman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 xml:space="preserve">dhe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CE599F" w:rsidRPr="003013FA" w:rsidRDefault="00D56D32" w:rsidP="003013F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3013FA" w:rsidRPr="003013FA">
        <w:rPr>
          <w:rFonts w:ascii="Times New Roman" w:hAnsi="Times New Roman"/>
          <w:b/>
          <w:bCs/>
          <w:sz w:val="24"/>
          <w:szCs w:val="24"/>
        </w:rPr>
        <w:t>2</w:t>
      </w:r>
      <w:r w:rsidR="00AC1F5A">
        <w:rPr>
          <w:rFonts w:ascii="Times New Roman" w:hAnsi="Times New Roman"/>
          <w:b/>
          <w:bCs/>
          <w:sz w:val="24"/>
          <w:szCs w:val="24"/>
        </w:rPr>
        <w:t xml:space="preserve"> (dy</w:t>
      </w:r>
      <w:r w:rsidR="00CE6814"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CE599F" w:rsidRPr="003013FA">
        <w:rPr>
          <w:rFonts w:ascii="Times New Roman" w:hAnsi="Times New Roman"/>
          <w:b/>
          <w:bCs/>
          <w:sz w:val="24"/>
          <w:szCs w:val="24"/>
        </w:rPr>
        <w:t xml:space="preserve">në  </w:t>
      </w:r>
      <w:r w:rsidR="00916FA8">
        <w:rPr>
          <w:rFonts w:ascii="Times New Roman" w:hAnsi="Times New Roman"/>
          <w:b/>
          <w:bCs/>
          <w:sz w:val="24"/>
          <w:szCs w:val="24"/>
        </w:rPr>
        <w:t xml:space="preserve">Sektorin  për të dhënat e hapura dhe Konsultimin Publik, në </w:t>
      </w:r>
      <w:r w:rsidR="00916FA8">
        <w:rPr>
          <w:rFonts w:ascii="Times New Roman" w:hAnsi="Times New Roman"/>
          <w:b/>
          <w:sz w:val="24"/>
          <w:szCs w:val="24"/>
        </w:rPr>
        <w:t xml:space="preserve">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Drejtorinë e </w:t>
      </w:r>
      <w:r w:rsidR="0043794D">
        <w:rPr>
          <w:rFonts w:ascii="Times New Roman" w:hAnsi="Times New Roman"/>
          <w:b/>
          <w:sz w:val="24"/>
          <w:szCs w:val="24"/>
        </w:rPr>
        <w:t>Pë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rgjithshme për të Drejtën e Informimit, </w:t>
      </w:r>
      <w:r w:rsidR="00CE599F"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3D3BE9" w:rsidRPr="00545923">
        <w:rPr>
          <w:rFonts w:eastAsia="MS Mincho"/>
          <w:color w:val="000000"/>
        </w:rPr>
        <w:t>a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0127AA" w:rsidRPr="00AC1F5A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, ai është i vlefshëm për konkurrimin nëpërmjet procedurës së ngritjes në detyrë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dhe pranimit nga jashtë shërbimit </w:t>
            </w:r>
            <w:proofErr w:type="gramStart"/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civil </w:t>
            </w:r>
            <w:r w:rsidR="000127A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të </w:t>
      </w:r>
      <w:r w:rsidR="000127AA">
        <w:rPr>
          <w:rFonts w:ascii="Times New Roman" w:eastAsia="MS Mincho" w:hAnsi="Times New Roman"/>
          <w:b/>
          <w:sz w:val="24"/>
          <w:szCs w:val="24"/>
        </w:rPr>
        <w:t>tre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r w:rsidR="000127AA" w:rsidRPr="00737BFD">
        <w:rPr>
          <w:rFonts w:ascii="Times New Roman" w:eastAsia="MS Mincho" w:hAnsi="Times New Roman"/>
          <w:b/>
        </w:rPr>
        <w:t>civil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0D5531" w:rsidRDefault="000D5531" w:rsidP="000D5531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25.05.2023</w:t>
            </w:r>
          </w:p>
          <w:p w:rsidR="000D5531" w:rsidRDefault="000D5531" w:rsidP="000D5531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30.05.2023</w:t>
            </w:r>
          </w:p>
          <w:p w:rsidR="003013FA" w:rsidRPr="00AC1F5A" w:rsidRDefault="00AC1F5A" w:rsidP="00AC1F5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30.05</w:t>
            </w:r>
            <w:r w:rsidR="000D5531">
              <w:rPr>
                <w:rFonts w:ascii="Times New Roman" w:eastAsia="MS Mincho" w:hAnsi="Times New Roman"/>
                <w:b/>
              </w:rPr>
              <w:t>.2023</w:t>
            </w: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3D3BE9" w:rsidRDefault="003D3BE9" w:rsidP="00534E40">
      <w:pPr>
        <w:pStyle w:val="Default"/>
        <w:jc w:val="both"/>
        <w:rPr>
          <w:rStyle w:val="hps"/>
          <w:color w:val="0D0D0D" w:themeColor="text1" w:themeTint="F2"/>
          <w:lang w:val="sq-AL"/>
        </w:rPr>
      </w:pPr>
      <w:r w:rsidRPr="007432BE">
        <w:rPr>
          <w:rStyle w:val="hps"/>
          <w:b/>
        </w:rPr>
        <w:t>Misioni i Drejtorisë</w:t>
      </w:r>
      <w:r w:rsidR="00534E40">
        <w:rPr>
          <w:rStyle w:val="hps"/>
          <w:b/>
        </w:rPr>
        <w:t xml:space="preserve"> dhe Sektorit: </w:t>
      </w:r>
      <w:r w:rsidR="00534E40">
        <w:rPr>
          <w:lang w:val="sq-AL"/>
        </w:rPr>
        <w:t xml:space="preserve">Mbikëqyrja dhe promovimi i së drejtës për ripërdorim të dokumenteve sipas </w:t>
      </w:r>
      <w:r w:rsidR="00534E40">
        <w:rPr>
          <w:rStyle w:val="hps"/>
          <w:color w:val="0D0D0D" w:themeColor="text1" w:themeTint="F2"/>
          <w:lang w:val="sq-AL"/>
        </w:rPr>
        <w:t xml:space="preserve">legjislacionit për të dhënat e hapura dhe ripërdorimin e informacionit të sektorit publik nëpërmjet trajtimit të ankesave, kryerjes së inspektimeve si dhe ndjekjes së proceseve gjyqësore </w:t>
      </w:r>
      <w:r w:rsidR="00534E40">
        <w:rPr>
          <w:lang w:val="sq-AL"/>
        </w:rPr>
        <w:t xml:space="preserve">si dhe </w:t>
      </w:r>
      <w:proofErr w:type="gramStart"/>
      <w:r w:rsidR="00534E40">
        <w:rPr>
          <w:lang w:val="sq-AL"/>
        </w:rPr>
        <w:t>trajtimi</w:t>
      </w:r>
      <w:r w:rsidR="00534E40">
        <w:rPr>
          <w:color w:val="0D0D0D" w:themeColor="text1" w:themeTint="F2"/>
          <w:lang w:val="sq-AL"/>
        </w:rPr>
        <w:t xml:space="preserve">  i</w:t>
      </w:r>
      <w:proofErr w:type="gramEnd"/>
      <w:r w:rsidR="00534E40">
        <w:rPr>
          <w:color w:val="0D0D0D" w:themeColor="text1" w:themeTint="F2"/>
          <w:lang w:val="sq-AL"/>
        </w:rPr>
        <w:t xml:space="preserve"> ankesave të adresuara pranë Zyrës së Komisionerit në </w:t>
      </w:r>
      <w:r w:rsidR="00534E40">
        <w:rPr>
          <w:rStyle w:val="hps"/>
          <w:color w:val="0D0D0D" w:themeColor="text1" w:themeTint="F2"/>
          <w:lang w:val="sq-AL"/>
        </w:rPr>
        <w:t xml:space="preserve">zbatim </w:t>
      </w:r>
      <w:r w:rsidR="00534E40">
        <w:rPr>
          <w:color w:val="0D0D0D" w:themeColor="text1" w:themeTint="F2"/>
          <w:lang w:val="sq-AL"/>
        </w:rPr>
        <w:t>të ligjit për njoftim dhe konsultim publik</w:t>
      </w:r>
      <w:r w:rsidR="00534E40">
        <w:rPr>
          <w:rStyle w:val="hps"/>
          <w:color w:val="0D0D0D" w:themeColor="text1" w:themeTint="F2"/>
          <w:lang w:val="sq-AL"/>
        </w:rPr>
        <w:t>.</w:t>
      </w:r>
    </w:p>
    <w:p w:rsidR="00534E40" w:rsidRPr="00534E40" w:rsidRDefault="00534E40" w:rsidP="00534E40">
      <w:pPr>
        <w:pStyle w:val="Default"/>
        <w:jc w:val="both"/>
        <w:rPr>
          <w:rStyle w:val="hps"/>
          <w:color w:val="0D0D0D" w:themeColor="text1" w:themeTint="F2"/>
          <w:lang w:val="sq-AL"/>
        </w:rPr>
      </w:pPr>
    </w:p>
    <w:p w:rsidR="00534E40" w:rsidRPr="000D5531" w:rsidRDefault="00534E40" w:rsidP="000D553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D5531">
        <w:rPr>
          <w:rFonts w:ascii="Times New Roman" w:hAnsi="Times New Roman"/>
          <w:b/>
          <w:bCs/>
          <w:sz w:val="24"/>
          <w:szCs w:val="24"/>
        </w:rPr>
        <w:t xml:space="preserve">Puna në Sektorin për të dhënat e hapura dhe Konsultimin Publik, </w:t>
      </w:r>
      <w:proofErr w:type="gramStart"/>
      <w:r w:rsidRPr="000D5531">
        <w:rPr>
          <w:rFonts w:ascii="Times New Roman" w:hAnsi="Times New Roman"/>
          <w:b/>
          <w:bCs/>
          <w:sz w:val="24"/>
          <w:szCs w:val="24"/>
        </w:rPr>
        <w:t xml:space="preserve">në </w:t>
      </w:r>
      <w:r w:rsidRPr="000D5531">
        <w:rPr>
          <w:rFonts w:ascii="Times New Roman" w:hAnsi="Times New Roman"/>
          <w:b/>
          <w:sz w:val="24"/>
          <w:szCs w:val="24"/>
        </w:rPr>
        <w:t xml:space="preserve"> Drejtorinë</w:t>
      </w:r>
      <w:proofErr w:type="gramEnd"/>
      <w:r w:rsidRPr="000D5531">
        <w:rPr>
          <w:rFonts w:ascii="Times New Roman" w:hAnsi="Times New Roman"/>
          <w:b/>
          <w:sz w:val="24"/>
          <w:szCs w:val="24"/>
        </w:rPr>
        <w:t xml:space="preserve"> e Përgjithshme për të Drejtën e Informimit, </w:t>
      </w:r>
      <w:r w:rsidRPr="000D5531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D5531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konsiston:</w:t>
      </w:r>
    </w:p>
    <w:p w:rsidR="00534E40" w:rsidRPr="000D5531" w:rsidRDefault="00534E40" w:rsidP="000D5531">
      <w:pPr>
        <w:pStyle w:val="ListParagraph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0D5531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në shqyrtimin dhe trajtimin e ankesave, kryerjen e inspektimeve administrative pranë </w:t>
      </w:r>
      <w:r w:rsidRPr="000D5531">
        <w:rPr>
          <w:rFonts w:ascii="Times New Roman" w:hAnsi="Times New Roman"/>
          <w:sz w:val="24"/>
          <w:szCs w:val="24"/>
          <w:lang w:val="sq-AL"/>
        </w:rPr>
        <w:t>organeve të sektorit publik sipas parashikimeve të ligjit nr.33/2022 “Për të dhënat e hapura dhe ripërdorimin e informacionit të sektorit publik” dhe Kodin e Procedurave Administrative;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color w:val="0D0D0D" w:themeColor="text1" w:themeTint="F2"/>
          <w:lang w:val="sq-AL"/>
        </w:rPr>
      </w:pPr>
      <w:r w:rsidRPr="000D5531">
        <w:rPr>
          <w:color w:val="0D0D0D" w:themeColor="text1" w:themeTint="F2"/>
          <w:lang w:val="sq-AL"/>
        </w:rPr>
        <w:t xml:space="preserve">në shqyrtimin dhe trajtimin e ankesave </w:t>
      </w:r>
      <w:r w:rsidRPr="000D5531">
        <w:rPr>
          <w:lang w:val="sq-AL"/>
        </w:rPr>
        <w:t xml:space="preserve">sipas parashikimeve të </w:t>
      </w:r>
      <w:r w:rsidRPr="000D5531">
        <w:rPr>
          <w:color w:val="0D0D0D" w:themeColor="text1" w:themeTint="F2"/>
          <w:lang w:val="sq-AL"/>
        </w:rPr>
        <w:t>ligjit nr.146/2014 “Për njoftimin dhe konsultimin publik”;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color w:val="0D0D0D" w:themeColor="text1" w:themeTint="F2"/>
          <w:lang w:val="sq-AL"/>
        </w:rPr>
      </w:pPr>
      <w:r w:rsidRPr="000D5531">
        <w:rPr>
          <w:lang w:val="sq-AL"/>
        </w:rPr>
        <w:t>organizimin e seancave dëgjimore me pjesëmarrjen e palëve;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rStyle w:val="hps"/>
        </w:rPr>
      </w:pPr>
      <w:r w:rsidRPr="000D5531">
        <w:rPr>
          <w:color w:val="0D0D0D" w:themeColor="text1" w:themeTint="F2"/>
          <w:lang w:val="sq-AL"/>
        </w:rPr>
        <w:t xml:space="preserve">propozimin për </w:t>
      </w:r>
      <w:r w:rsidRPr="000D5531">
        <w:rPr>
          <w:rStyle w:val="hps"/>
          <w:color w:val="0D0D0D" w:themeColor="text1" w:themeTint="F2"/>
          <w:lang w:val="sq-AL"/>
        </w:rPr>
        <w:t>vendosjen e sanksioneve për shkeljet e konstatuara;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rStyle w:val="hps"/>
          <w:color w:val="0D0D0D" w:themeColor="text1" w:themeTint="F2"/>
          <w:lang w:val="sq-AL"/>
        </w:rPr>
      </w:pPr>
      <w:r w:rsidRPr="000D5531">
        <w:rPr>
          <w:color w:val="0D0D0D" w:themeColor="text1" w:themeTint="F2"/>
          <w:lang w:val="sq-AL"/>
        </w:rPr>
        <w:t>ndjekjen e procedurave gjyqësore</w:t>
      </w:r>
      <w:r w:rsidRPr="000D5531">
        <w:rPr>
          <w:iCs/>
          <w:color w:val="0D0D0D" w:themeColor="text1" w:themeTint="F2"/>
          <w:spacing w:val="-3"/>
          <w:lang w:val="sq-AL"/>
        </w:rPr>
        <w:t xml:space="preserve"> sipas </w:t>
      </w:r>
      <w:r w:rsidRPr="000D5531">
        <w:rPr>
          <w:rStyle w:val="hps"/>
          <w:color w:val="0D0D0D" w:themeColor="text1" w:themeTint="F2"/>
          <w:lang w:val="sq-AL"/>
        </w:rPr>
        <w:t xml:space="preserve">ligjit për të dhënat e hapura dhe ripërdorimin e informacionit të sektorit publik si dhe </w:t>
      </w:r>
      <w:r w:rsidRPr="000D5531">
        <w:rPr>
          <w:color w:val="0D0D0D" w:themeColor="text1" w:themeTint="F2"/>
          <w:lang w:val="sq-AL"/>
        </w:rPr>
        <w:t>të ligjit për njoftim dhe konsultim publik</w:t>
      </w:r>
      <w:r w:rsidRPr="000D5531">
        <w:rPr>
          <w:rStyle w:val="hps"/>
          <w:color w:val="0D0D0D" w:themeColor="text1" w:themeTint="F2"/>
          <w:lang w:val="sq-AL"/>
        </w:rPr>
        <w:t>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rStyle w:val="hps"/>
          <w:color w:val="0D0D0D" w:themeColor="text1" w:themeTint="F2"/>
          <w:lang w:val="sq-AL"/>
        </w:rPr>
      </w:pPr>
      <w:r w:rsidRPr="000D5531">
        <w:rPr>
          <w:color w:val="0D0D0D" w:themeColor="text1" w:themeTint="F2"/>
          <w:lang w:val="sq-AL"/>
        </w:rPr>
        <w:t xml:space="preserve">hartimin e një baze ligjore të qëndrueshme për </w:t>
      </w:r>
      <w:r w:rsidRPr="000D5531">
        <w:rPr>
          <w:lang w:val="sq-AL"/>
        </w:rPr>
        <w:t>formatin elektronik të licencave standarte, duke dhënë kontribut në hartimin e modelit të tij, i cili do të miratohet me udhëzim të përbashkët të ministrit përgjegjës dhe Komisionerit për të Drejtën e Informimit dhe Mbrojtjen e të Dhënave Personale</w:t>
      </w:r>
      <w:r w:rsidRPr="000D5531">
        <w:rPr>
          <w:iCs/>
          <w:color w:val="0D0D0D" w:themeColor="text1" w:themeTint="F2"/>
          <w:spacing w:val="-3"/>
          <w:lang w:val="sq-AL"/>
        </w:rPr>
        <w:t xml:space="preserve"> sipas </w:t>
      </w:r>
      <w:r w:rsidRPr="000D5531">
        <w:rPr>
          <w:rStyle w:val="hps"/>
          <w:color w:val="0D0D0D" w:themeColor="text1" w:themeTint="F2"/>
          <w:lang w:val="sq-AL"/>
        </w:rPr>
        <w:t>ligjit për të dhënat e hapura dhe ripërdorimin e informacionit të sektorit publik;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  <w:rPr>
          <w:rStyle w:val="hps"/>
          <w:color w:val="0D0D0D" w:themeColor="text1" w:themeTint="F2"/>
          <w:lang w:val="sq-AL"/>
        </w:rPr>
      </w:pPr>
      <w:r w:rsidRPr="000D5531">
        <w:rPr>
          <w:color w:val="0D0D0D" w:themeColor="text1" w:themeTint="F2"/>
          <w:lang w:val="sq-AL"/>
        </w:rPr>
        <w:t>administrimin e të dhënave për ndjekjen dhe procedurat e kryera mbi ankesat e paraqitura;</w:t>
      </w:r>
    </w:p>
    <w:p w:rsidR="00534E40" w:rsidRPr="000D5531" w:rsidRDefault="00534E40" w:rsidP="000D5531">
      <w:pPr>
        <w:pStyle w:val="BodyText"/>
        <w:numPr>
          <w:ilvl w:val="0"/>
          <w:numId w:val="36"/>
        </w:numPr>
        <w:spacing w:line="276" w:lineRule="auto"/>
      </w:pPr>
      <w:r w:rsidRPr="000D5531">
        <w:rPr>
          <w:iCs/>
          <w:color w:val="0D0D0D" w:themeColor="text1" w:themeTint="F2"/>
          <w:spacing w:val="-3"/>
          <w:lang w:val="sq-AL"/>
        </w:rPr>
        <w:t>ndjekjen dhe zbatimin e detyrave të përcaktuara nga ligji dhe Rregullorja e Brendshme.</w:t>
      </w:r>
    </w:p>
    <w:p w:rsidR="00534E40" w:rsidRDefault="00534E40" w:rsidP="00534E40">
      <w:pPr>
        <w:pStyle w:val="BodyText"/>
        <w:spacing w:line="276" w:lineRule="auto"/>
        <w:rPr>
          <w:iCs/>
          <w:color w:val="0D0D0D" w:themeColor="text1" w:themeTint="F2"/>
          <w:spacing w:val="-3"/>
          <w:lang w:val="sq-AL"/>
        </w:rPr>
      </w:pPr>
    </w:p>
    <w:p w:rsidR="003D3BE9" w:rsidRPr="007432BE" w:rsidRDefault="003D3BE9" w:rsidP="003D3BE9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7432BE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534E40" w:rsidRPr="00534E40" w:rsidRDefault="00534E40" w:rsidP="00534E40">
      <w:pPr>
        <w:pStyle w:val="BodyText"/>
        <w:spacing w:line="276" w:lineRule="auto"/>
        <w:rPr>
          <w:color w:val="0D0D0D" w:themeColor="text1" w:themeTint="F2"/>
          <w:lang w:val="sq-AL"/>
        </w:rPr>
      </w:pPr>
      <w:r w:rsidRPr="00534E40">
        <w:rPr>
          <w:color w:val="0D0D0D" w:themeColor="text1" w:themeTint="F2"/>
          <w:lang w:val="sq-AL"/>
        </w:rPr>
        <w:t xml:space="preserve">Evidentimi i detyrave kryesore dhe realizimi i tyre vijnë si rezultat i përmbushjes së detyrimeve ligjore që rrjedhin nga ligji </w:t>
      </w:r>
      <w:r w:rsidRPr="00534E40">
        <w:rPr>
          <w:rStyle w:val="hps"/>
          <w:color w:val="0D0D0D" w:themeColor="text1" w:themeTint="F2"/>
          <w:lang w:val="sq-AL"/>
        </w:rPr>
        <w:t xml:space="preserve">për të dhënat e hapura dhe ripërdorimin e informacionit të sektorit publik, </w:t>
      </w:r>
      <w:r w:rsidRPr="00534E40">
        <w:rPr>
          <w:color w:val="0D0D0D" w:themeColor="text1" w:themeTint="F2"/>
          <w:lang w:val="sq-AL"/>
        </w:rPr>
        <w:t>ligji për njoftim dhe konsultim publik</w:t>
      </w:r>
      <w:r w:rsidRPr="00534E40">
        <w:rPr>
          <w:rStyle w:val="hps"/>
          <w:color w:val="0D0D0D" w:themeColor="text1" w:themeTint="F2"/>
          <w:lang w:val="sq-AL"/>
        </w:rPr>
        <w:t>, l</w:t>
      </w:r>
      <w:r w:rsidRPr="00534E40">
        <w:rPr>
          <w:color w:val="0D0D0D" w:themeColor="text1" w:themeTint="F2"/>
          <w:lang w:val="sq-AL"/>
        </w:rPr>
        <w:t>igji për nëpunësit civil, rregullorja e brendshme për organizimin e funksionimin e Zyrës së Komisionerit si dhe çdo akt tjetër dalë në zbatim të legjislacionit në tërësi dhe që referon këtë pozicion.</w:t>
      </w:r>
    </w:p>
    <w:p w:rsidR="00534E40" w:rsidRPr="00534E40" w:rsidRDefault="00534E40" w:rsidP="00534E40">
      <w:pPr>
        <w:shd w:val="clear" w:color="auto" w:fill="FFFFFF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</w:pPr>
    </w:p>
    <w:p w:rsidR="00534E40" w:rsidRPr="00534E40" w:rsidRDefault="00534E40" w:rsidP="00534E40">
      <w:pPr>
        <w:shd w:val="clear" w:color="auto" w:fill="FFFFFF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Kryesisht inspektori angazhohet në:</w:t>
      </w:r>
    </w:p>
    <w:p w:rsidR="00534E40" w:rsidRPr="00534E40" w:rsidRDefault="00534E40" w:rsidP="00534E40">
      <w:pPr>
        <w:pStyle w:val="BodyText"/>
        <w:numPr>
          <w:ilvl w:val="0"/>
          <w:numId w:val="37"/>
        </w:numPr>
        <w:spacing w:line="276" w:lineRule="auto"/>
        <w:rPr>
          <w:color w:val="0D0D0D" w:themeColor="text1" w:themeTint="F2"/>
          <w:lang w:val="sq-AL"/>
        </w:rPr>
      </w:pPr>
      <w:r w:rsidRPr="00534E40">
        <w:rPr>
          <w:color w:val="0D0D0D" w:themeColor="text1" w:themeTint="F2"/>
          <w:lang w:val="sq-AL" w:eastAsia="sq-AL"/>
        </w:rPr>
        <w:t>Ndjekjen dhe shqyrtimin e ankesave të personave, të cilët pretendojnë se u janë shkelur të drejtat e tyre të parashikuara në ligjin</w:t>
      </w:r>
      <w:r w:rsidRPr="00534E40">
        <w:rPr>
          <w:rStyle w:val="hps"/>
          <w:color w:val="0D0D0D" w:themeColor="text1" w:themeTint="F2"/>
          <w:lang w:val="sq-AL"/>
        </w:rPr>
        <w:t xml:space="preserve"> për të dhënat e hapura dhe ripërdorimin e informacionit të sektorit publik si dhe </w:t>
      </w:r>
      <w:r w:rsidRPr="00534E40">
        <w:rPr>
          <w:color w:val="0D0D0D" w:themeColor="text1" w:themeTint="F2"/>
          <w:lang w:val="sq-AL"/>
        </w:rPr>
        <w:t>ligjin për njoftim dhe konsultim publik</w:t>
      </w:r>
      <w:r w:rsidRPr="00534E40">
        <w:rPr>
          <w:rStyle w:val="hps"/>
          <w:color w:val="0D0D0D" w:themeColor="text1" w:themeTint="F2"/>
          <w:lang w:val="sq-AL"/>
        </w:rPr>
        <w:t>;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>Verifikimin e informacionit dhe dokumenteve, objekt ankimi, sipas ligjin</w:t>
      </w:r>
      <w:r w:rsidRPr="00534E40">
        <w:rPr>
          <w:rStyle w:val="hps"/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 për të dhënat e hapura dhe ripërdorimin e informacionit të sektorit publik si dhe 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ligjin për njoftim dhe konsultim publik;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lastRenderedPageBreak/>
        <w:t xml:space="preserve">Përgatitjen e informacioneve, relacioneve, dokumenteve si dhe materiale argumentuese në përputhje me 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>ligjin</w:t>
      </w:r>
      <w:r w:rsidRPr="00534E40">
        <w:rPr>
          <w:rStyle w:val="hps"/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 për të dhënat e hapura dhe ripërdorimin e informacionit të sektorit publik si dhe 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ligjin për njoftim dhe konsultim publik;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Përgatitjen e memove informuese për çdo detyrë funksionale të përcaktuar ligjërisht apo të caktuar përjashtimisht në varësi të qëllimit të kërkesës;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>Kryerjen e hetimeve të nevojshme administrative në organet e sektorit publik/institucionet dhe hartimin e projektakteve/ procesverbale etj për realizimin e tyre</w:t>
      </w:r>
      <w:r w:rsidRPr="00534E40">
        <w:rPr>
          <w:rFonts w:ascii="Times New Roman" w:hAnsi="Times New Roman"/>
          <w:bCs/>
          <w:color w:val="0D0D0D" w:themeColor="text1" w:themeTint="F2"/>
          <w:sz w:val="24"/>
          <w:szCs w:val="24"/>
          <w:lang w:val="sq-AL"/>
        </w:rPr>
        <w:t xml:space="preserve"> si dhe p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lotësimin e dosjes së hetimit administrativ me çdo provë të administruar në të</w:t>
      </w:r>
      <w:r w:rsidRPr="00534E40">
        <w:rPr>
          <w:rFonts w:ascii="Times New Roman" w:hAnsi="Times New Roman"/>
          <w:bCs/>
          <w:color w:val="0D0D0D" w:themeColor="text1" w:themeTint="F2"/>
          <w:sz w:val="24"/>
          <w:szCs w:val="24"/>
          <w:lang w:val="sq-AL"/>
        </w:rPr>
        <w:t>.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 xml:space="preserve">; 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 xml:space="preserve">Hartimin e akte administrative si vendime apo rekomandime; 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color w:val="0D0D0D" w:themeColor="text1" w:themeTint="F2"/>
          <w:spacing w:val="-8"/>
          <w:sz w:val="24"/>
          <w:szCs w:val="24"/>
          <w:lang w:val="sq-AL"/>
        </w:rPr>
      </w:pPr>
      <w:r w:rsidRPr="00534E40">
        <w:rPr>
          <w:rFonts w:ascii="Times New Roman" w:hAnsi="Times New Roman"/>
          <w:bCs/>
          <w:color w:val="0D0D0D" w:themeColor="text1" w:themeTint="F2"/>
          <w:sz w:val="24"/>
          <w:szCs w:val="24"/>
          <w:lang w:val="sq-AL"/>
        </w:rPr>
        <w:t>Hartimin e prapësimeve apo konkluzione përfundimtare të dosjes gjyqësore si dhe p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ërfaqësimin e Zyrës e Komisionerit në proceset gjyqësore;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Studimin e vazhdueshëm të literaturës juridike dhe zhvillimeve të vazhdueshme të kuadrit ligjor në dobi të inspektimeve të kryera tek autoritetet publike.</w:t>
      </w:r>
    </w:p>
    <w:p w:rsidR="00534E40" w:rsidRPr="00534E40" w:rsidRDefault="00534E40" w:rsidP="00534E40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</w:pP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>Marrjen pjesë në nivel të lartë profesional në grupet e punës për të dhënë mendime mbi ligjin</w:t>
      </w:r>
      <w:r w:rsidRPr="00534E40">
        <w:rPr>
          <w:rStyle w:val="hps"/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 për të dhënat e hapura dhe ripërdorimin e informacionit të sektorit publik si dhe 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ligjin për njoftim dhe konsultim publik</w:t>
      </w:r>
      <w:r w:rsidRPr="00534E40">
        <w:rPr>
          <w:rFonts w:ascii="Times New Roman" w:hAnsi="Times New Roman"/>
          <w:color w:val="0D0D0D" w:themeColor="text1" w:themeTint="F2"/>
          <w:sz w:val="24"/>
          <w:szCs w:val="24"/>
          <w:lang w:val="sq-AL" w:eastAsia="sq-AL"/>
        </w:rPr>
        <w:t>.</w:t>
      </w:r>
    </w:p>
    <w:p w:rsidR="003013FA" w:rsidRPr="00534E40" w:rsidRDefault="003013FA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281327" w:rsidRPr="00FB5643" w:rsidRDefault="00545923" w:rsidP="00281327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="00281327" w:rsidRPr="00FB5643">
        <w:rPr>
          <w:bCs/>
        </w:rPr>
        <w:t>ë jetë nëpunës civil i konfirmuar, brenda të njëjtës kategori për të cilën aplikon</w:t>
      </w:r>
      <w:r w:rsidR="000127AA">
        <w:rPr>
          <w:bCs/>
        </w:rPr>
        <w:t xml:space="preserve"> </w:t>
      </w:r>
      <w:r w:rsidR="00281327" w:rsidRPr="00FB5643">
        <w:rPr>
          <w:bCs/>
        </w:rPr>
        <w:t>(kategoria III-a ose III-</w:t>
      </w:r>
      <w:r w:rsidR="00A37029">
        <w:rPr>
          <w:bCs/>
        </w:rPr>
        <w:t>a</w:t>
      </w:r>
      <w:r w:rsidR="00281327" w:rsidRPr="00FB5643">
        <w:rPr>
          <w:bCs/>
        </w:rPr>
        <w:t>1) ;</w:t>
      </w:r>
    </w:p>
    <w:p w:rsidR="007650F6" w:rsidRPr="00452AF3" w:rsidRDefault="007650F6" w:rsidP="006D0A3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Të mos ketë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452AF3">
        <w:rPr>
          <w:rFonts w:ascii="Times New Roman" w:hAnsi="Times New Roman"/>
          <w:sz w:val="24"/>
          <w:szCs w:val="24"/>
        </w:rPr>
        <w:t>rtetuar me një dokument nga institucioni);</w:t>
      </w:r>
    </w:p>
    <w:p w:rsidR="00281327" w:rsidRPr="005B5C4D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Të ketë të paktën vlerësim</w:t>
      </w:r>
      <w:r w:rsidR="00140EA2" w:rsidRPr="00140EA2">
        <w:rPr>
          <w:rFonts w:ascii="Times New Roman" w:hAnsi="Times New Roman"/>
          <w:sz w:val="24"/>
          <w:szCs w:val="24"/>
        </w:rPr>
        <w:t xml:space="preserve">in e fundit </w:t>
      </w:r>
      <w:r w:rsidRPr="00140EA2">
        <w:rPr>
          <w:rFonts w:ascii="Times New Roman" w:hAnsi="Times New Roman"/>
          <w:sz w:val="24"/>
          <w:szCs w:val="24"/>
        </w:rPr>
        <w:t xml:space="preserve"> pozitiv </w:t>
      </w:r>
      <w:r w:rsidR="00140EA2" w:rsidRPr="00140EA2">
        <w:rPr>
          <w:rFonts w:ascii="Times New Roman" w:hAnsi="Times New Roman"/>
          <w:sz w:val="24"/>
          <w:szCs w:val="24"/>
        </w:rPr>
        <w:t>“mir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>”  apo “shumë 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 xml:space="preserve">” </w:t>
      </w:r>
    </w:p>
    <w:p w:rsidR="007650F6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CF51CB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CF51CB">
        <w:rPr>
          <w:rFonts w:ascii="Times New Roman" w:hAnsi="Times New Roman"/>
          <w:sz w:val="24"/>
          <w:szCs w:val="24"/>
        </w:rPr>
        <w:t xml:space="preserve">      </w:t>
      </w:r>
      <w:r w:rsidRPr="00CF51CB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Pr="00CF51CB" w:rsidRDefault="00583984" w:rsidP="0058398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F51CB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</w:t>
      </w:r>
      <w:r w:rsidR="00534E40" w:rsidRPr="00CF51CB">
        <w:rPr>
          <w:rFonts w:ascii="Times New Roman" w:hAnsi="Times New Roman"/>
          <w:color w:val="0D0D0D" w:themeColor="text1" w:themeTint="F2"/>
          <w:spacing w:val="-3"/>
          <w:sz w:val="24"/>
          <w:szCs w:val="24"/>
          <w:lang w:val="sq-AL"/>
        </w:rPr>
        <w:t>“Master Shkencor” të</w:t>
      </w:r>
      <w:r w:rsidR="00534E40" w:rsidRPr="00CF51CB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 nivelit të dytë (DND) </w:t>
      </w:r>
      <w:r w:rsidR="00534E40" w:rsidRPr="00CF51CB">
        <w:rPr>
          <w:rFonts w:ascii="Times New Roman" w:hAnsi="Times New Roman"/>
          <w:color w:val="0D0D0D" w:themeColor="text1" w:themeTint="F2"/>
          <w:spacing w:val="-3"/>
          <w:sz w:val="24"/>
          <w:szCs w:val="24"/>
          <w:lang w:val="sq-AL"/>
        </w:rPr>
        <w:t>në Shkencat Juridike</w:t>
      </w:r>
      <w:r w:rsidRPr="00CF51C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ku edhe diploma e nivelit “Bachelor” duhet të jetë në të njëjtën fushë. (</w:t>
      </w:r>
      <w:r w:rsidRPr="00CF51CB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0D5531" w:rsidRPr="00CF51CB" w:rsidRDefault="000D5531" w:rsidP="000D5531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F51CB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CF51CB">
        <w:rPr>
          <w:rFonts w:ascii="Times New Roman" w:hAnsi="Times New Roman"/>
          <w:sz w:val="24"/>
          <w:szCs w:val="24"/>
        </w:rPr>
        <w:t xml:space="preserve">i nivelit të dytë (DND) </w:t>
      </w:r>
      <w:r w:rsidRPr="00CF51CB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Juridike </w:t>
      </w:r>
      <w:r w:rsidRPr="00CF51C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CF51CB">
        <w:rPr>
          <w:rFonts w:ascii="Times New Roman" w:hAnsi="Times New Roman"/>
          <w:i/>
          <w:color w:val="0D0D0D" w:themeColor="text1" w:themeTint="F2"/>
          <w:sz w:val="24"/>
          <w:szCs w:val="24"/>
        </w:rPr>
        <w:t xml:space="preserve">Diplomat të cilat janë marrë </w:t>
      </w:r>
      <w:r w:rsidRPr="00CF51CB">
        <w:rPr>
          <w:rFonts w:ascii="Times New Roman" w:hAnsi="Times New Roman"/>
          <w:i/>
          <w:color w:val="0D0D0D" w:themeColor="text1" w:themeTint="F2"/>
          <w:sz w:val="24"/>
          <w:szCs w:val="24"/>
        </w:rPr>
        <w:lastRenderedPageBreak/>
        <w:t>jashtë vendit, duhet të jenë të njohura paraprakisht pranë institucionit përgjegjës për njehsimin e diplomave sipas legjislacionit në fuqi)</w:t>
      </w:r>
    </w:p>
    <w:p w:rsidR="000D5531" w:rsidRDefault="000D5531" w:rsidP="000D5531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0D5531" w:rsidRPr="000D5531" w:rsidRDefault="000D5531" w:rsidP="000D5531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</w:t>
      </w:r>
      <w:r w:rsidR="00AC1F5A">
        <w:rPr>
          <w:rFonts w:ascii="Times New Roman" w:hAnsi="Times New Roman"/>
          <w:color w:val="000000"/>
          <w:sz w:val="24"/>
          <w:szCs w:val="24"/>
        </w:rPr>
        <w:t xml:space="preserve"> kenë përvoje pune mbi</w:t>
      </w:r>
      <w:r>
        <w:rPr>
          <w:rFonts w:ascii="Times New Roman" w:hAnsi="Times New Roman"/>
          <w:color w:val="000000"/>
          <w:sz w:val="24"/>
          <w:szCs w:val="24"/>
        </w:rPr>
        <w:t xml:space="preserve"> 3 vite</w:t>
      </w:r>
      <w:r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0D5531" w:rsidRDefault="000D5531" w:rsidP="000D5531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0D5531" w:rsidRDefault="000D5531" w:rsidP="000D5531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0D5531" w:rsidRDefault="000D5531" w:rsidP="000D5531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 (frengjisht, italisht</w:t>
      </w:r>
      <w:proofErr w:type="gramStart"/>
      <w:r>
        <w:rPr>
          <w:rFonts w:ascii="Times New Roman" w:hAnsi="Times New Roman"/>
          <w:sz w:val="24"/>
          <w:szCs w:val="24"/>
        </w:rPr>
        <w:t>) .</w:t>
      </w:r>
      <w:proofErr w:type="gramEnd"/>
    </w:p>
    <w:p w:rsidR="000D5531" w:rsidRDefault="000D5531" w:rsidP="000D5531">
      <w:pPr>
        <w:pStyle w:val="ListParagraph"/>
        <w:numPr>
          <w:ilvl w:val="0"/>
          <w:numId w:val="39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A462EA" w:rsidRPr="00D070B9" w:rsidRDefault="000D5531" w:rsidP="00D070B9">
      <w:pPr>
        <w:pStyle w:val="ListParagraph"/>
        <w:numPr>
          <w:ilvl w:val="0"/>
          <w:numId w:val="39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F2517A" w:rsidRPr="00643412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t xml:space="preserve">Kandidatët duhet të dorëzojnë pranë </w:t>
      </w:r>
      <w:r w:rsidR="005A4794">
        <w:rPr>
          <w:rFonts w:ascii="Times New Roman" w:hAnsi="Times New Roman"/>
          <w:sz w:val="24"/>
          <w:szCs w:val="24"/>
        </w:rPr>
        <w:t xml:space="preserve">Zyrës së protokollit të </w:t>
      </w:r>
      <w:r w:rsidR="00643412"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="00643412" w:rsidRPr="00643412">
        <w:rPr>
          <w:rFonts w:ascii="Times New Roman" w:hAnsi="Times New Roman"/>
          <w:sz w:val="24"/>
          <w:szCs w:val="24"/>
        </w:rPr>
        <w:t xml:space="preserve">për të Drejtën e </w:t>
      </w:r>
      <w:r w:rsidR="00D56D32">
        <w:rPr>
          <w:rFonts w:ascii="Times New Roman" w:hAnsi="Times New Roman"/>
          <w:sz w:val="24"/>
          <w:szCs w:val="24"/>
        </w:rPr>
        <w:t>Informimit dhe Mbrojtjen e të Dhënave P</w:t>
      </w:r>
      <w:r w:rsidR="00643412" w:rsidRPr="00643412">
        <w:rPr>
          <w:rFonts w:ascii="Times New Roman" w:hAnsi="Times New Roman"/>
          <w:sz w:val="24"/>
          <w:szCs w:val="24"/>
        </w:rPr>
        <w:t xml:space="preserve">ersonale, </w:t>
      </w:r>
      <w:r w:rsidRPr="00643412">
        <w:rPr>
          <w:rFonts w:ascii="Times New Roman" w:hAnsi="Times New Roman"/>
          <w:sz w:val="24"/>
          <w:szCs w:val="24"/>
        </w:rPr>
        <w:t>ku ndodhet pozicioni për të cilin ata dëshirojnë të aplikojnë, dokumentet si më poshtë: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A462EA" w:rsidRPr="00F3371A" w:rsidRDefault="00C57CDF" w:rsidP="00A462EA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A462EA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b) Fotokopje të diplomës (përfshirë edhe diplomën Bachelor); Për diplomat e marra jashtë Republikës së Shqipërisë, </w:t>
      </w:r>
      <w:r w:rsidR="000D5531">
        <w:rPr>
          <w:rFonts w:ascii="Times New Roman" w:hAnsi="Times New Roman"/>
          <w:sz w:val="24"/>
          <w:szCs w:val="24"/>
        </w:rPr>
        <w:t xml:space="preserve">duhet </w:t>
      </w:r>
      <w:r w:rsidRPr="00F3371A">
        <w:rPr>
          <w:rFonts w:ascii="Times New Roman" w:hAnsi="Times New Roman"/>
          <w:sz w:val="24"/>
          <w:szCs w:val="24"/>
        </w:rPr>
        <w:t xml:space="preserve">të </w:t>
      </w:r>
      <w:r w:rsidR="000D5531">
        <w:rPr>
          <w:rFonts w:ascii="Times New Roman" w:hAnsi="Times New Roman"/>
          <w:sz w:val="24"/>
          <w:szCs w:val="24"/>
        </w:rPr>
        <w:t xml:space="preserve">jene njohur paraprakisht nga institucioni përgjegjës për njesimin e dipllo mave sipas legjislacionit në fuqi; 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A462E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F3371A">
        <w:rPr>
          <w:rFonts w:ascii="Times New Roman" w:hAnsi="Times New Roman"/>
          <w:sz w:val="24"/>
          <w:szCs w:val="24"/>
        </w:rPr>
        <w:t>dh</w:t>
      </w:r>
      <w:proofErr w:type="gramEnd"/>
      <w:r w:rsidRPr="00F3371A">
        <w:rPr>
          <w:rFonts w:ascii="Times New Roman" w:hAnsi="Times New Roman"/>
          <w:sz w:val="24"/>
          <w:szCs w:val="24"/>
        </w:rPr>
        <w:t>) Vetëdeklarim të gjendjes gjyqësore;</w:t>
      </w:r>
    </w:p>
    <w:p w:rsidR="000D5531" w:rsidRPr="00F3371A" w:rsidRDefault="000D5531" w:rsidP="00A462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V</w:t>
      </w:r>
      <w:r w:rsidRPr="00140EA2">
        <w:rPr>
          <w:rFonts w:ascii="Times New Roman" w:hAnsi="Times New Roman"/>
          <w:sz w:val="24"/>
          <w:szCs w:val="24"/>
        </w:rPr>
        <w:t>lerësimin e fundit  pozitiv “mir</w:t>
      </w:r>
      <w:r>
        <w:rPr>
          <w:rFonts w:ascii="Times New Roman" w:hAnsi="Times New Roman"/>
          <w:sz w:val="24"/>
          <w:szCs w:val="24"/>
        </w:rPr>
        <w:t>ë</w:t>
      </w:r>
      <w:r w:rsidRPr="00140EA2">
        <w:rPr>
          <w:rFonts w:ascii="Times New Roman" w:hAnsi="Times New Roman"/>
          <w:sz w:val="24"/>
          <w:szCs w:val="24"/>
        </w:rPr>
        <w:t xml:space="preserve">”  apo “shumë </w:t>
      </w:r>
      <w:r>
        <w:rPr>
          <w:rFonts w:ascii="Times New Roman" w:hAnsi="Times New Roman"/>
          <w:sz w:val="24"/>
          <w:szCs w:val="24"/>
        </w:rPr>
        <w:t xml:space="preserve">mire”, nga eprori direkt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A462EA" w:rsidRDefault="000D5531" w:rsidP="00A462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A462EA" w:rsidRPr="00F3371A">
        <w:rPr>
          <w:rFonts w:ascii="Times New Roman" w:hAnsi="Times New Roman"/>
          <w:sz w:val="24"/>
          <w:szCs w:val="24"/>
        </w:rPr>
        <w:t>)   Letër motivimi për aplikim në vendin vakant.</w:t>
      </w:r>
    </w:p>
    <w:p w:rsidR="000D5531" w:rsidRPr="00F3371A" w:rsidRDefault="000D5531" w:rsidP="00A462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Vë</w:t>
      </w:r>
      <w:r w:rsidRPr="00452AF3">
        <w:rPr>
          <w:rFonts w:ascii="Times New Roman" w:hAnsi="Times New Roman"/>
          <w:sz w:val="24"/>
          <w:szCs w:val="24"/>
        </w:rPr>
        <w:t>rtet</w:t>
      </w:r>
      <w:r>
        <w:rPr>
          <w:rFonts w:ascii="Times New Roman" w:hAnsi="Times New Roman"/>
          <w:sz w:val="24"/>
          <w:szCs w:val="24"/>
        </w:rPr>
        <w:t xml:space="preserve">im </w:t>
      </w:r>
      <w:r w:rsidRPr="00452AF3">
        <w:rPr>
          <w:rFonts w:ascii="Times New Roman" w:hAnsi="Times New Roman"/>
          <w:sz w:val="24"/>
          <w:szCs w:val="24"/>
        </w:rPr>
        <w:t xml:space="preserve">nga institucioni </w:t>
      </w:r>
      <w:r>
        <w:rPr>
          <w:rFonts w:ascii="Times New Roman" w:hAnsi="Times New Roman"/>
          <w:sz w:val="24"/>
          <w:szCs w:val="24"/>
        </w:rPr>
        <w:t xml:space="preserve">qe nuk ka masë disiplinore në fuqi/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A462EA" w:rsidRPr="00F3371A" w:rsidRDefault="000D5531" w:rsidP="00A462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A462EA" w:rsidRPr="00F3371A">
        <w:rPr>
          <w:rFonts w:ascii="Times New Roman" w:hAnsi="Times New Roman"/>
          <w:sz w:val="24"/>
          <w:szCs w:val="24"/>
        </w:rPr>
        <w:t xml:space="preserve">)  </w:t>
      </w:r>
      <w:r w:rsidR="00A462EA" w:rsidRPr="00F3371A">
        <w:rPr>
          <w:rFonts w:ascii="Times New Roman" w:hAnsi="Times New Roman"/>
          <w:sz w:val="24"/>
          <w:szCs w:val="24"/>
          <w:lang w:val="sq-AL"/>
        </w:rPr>
        <w:t>Ç</w:t>
      </w:r>
      <w:r w:rsidR="00A462EA"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D5531">
        <w:rPr>
          <w:rFonts w:ascii="Times New Roman" w:hAnsi="Times New Roman"/>
          <w:sz w:val="24"/>
          <w:szCs w:val="24"/>
        </w:rPr>
        <w:t>i</w:t>
      </w:r>
      <w:r w:rsidRPr="00F3371A">
        <w:rPr>
          <w:rFonts w:ascii="Times New Roman" w:hAnsi="Times New Roman"/>
          <w:sz w:val="24"/>
          <w:szCs w:val="24"/>
        </w:rPr>
        <w:t>) Një numër kontakti dhe adresën e plotë të vendbanimit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 w:rsidR="000D5531">
        <w:rPr>
          <w:rFonts w:ascii="Times New Roman" w:hAnsi="Times New Roman"/>
          <w:sz w:val="24"/>
          <w:szCs w:val="24"/>
        </w:rPr>
        <w:t>j</w:t>
      </w:r>
      <w:r w:rsidRPr="00F3371A">
        <w:rPr>
          <w:rFonts w:ascii="Times New Roman" w:hAnsi="Times New Roman"/>
          <w:sz w:val="24"/>
          <w:szCs w:val="24"/>
        </w:rPr>
        <w:t>) Aktin e emërimit si nëpunës civil.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 w:rsidR="000D5531">
        <w:rPr>
          <w:rFonts w:ascii="Times New Roman" w:hAnsi="Times New Roman"/>
          <w:sz w:val="24"/>
          <w:szCs w:val="24"/>
        </w:rPr>
        <w:t>k</w:t>
      </w:r>
      <w:r w:rsidRPr="00F3371A">
        <w:rPr>
          <w:rFonts w:ascii="Times New Roman" w:hAnsi="Times New Roman"/>
          <w:sz w:val="24"/>
          <w:szCs w:val="24"/>
        </w:rPr>
        <w:t>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A462EA" w:rsidRDefault="00A462EA" w:rsidP="00A462EA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 duhet të dorëzohen me postë apo drejtpërsëdrejti në institucion, </w:t>
      </w:r>
      <w:r w:rsidR="00D070B9">
        <w:rPr>
          <w:rFonts w:ascii="Times New Roman" w:hAnsi="Times New Roman"/>
          <w:b/>
          <w:i/>
          <w:sz w:val="24"/>
          <w:szCs w:val="24"/>
        </w:rPr>
        <w:t xml:space="preserve">të noterizuara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brenda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datës </w:t>
      </w:r>
      <w:r w:rsidR="000D5531">
        <w:rPr>
          <w:rFonts w:ascii="Times New Roman" w:hAnsi="Times New Roman"/>
          <w:b/>
          <w:i/>
          <w:sz w:val="24"/>
          <w:szCs w:val="24"/>
        </w:rPr>
        <w:t>25.05.2023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A462EA" w:rsidRPr="00D03A28" w:rsidRDefault="00A462EA" w:rsidP="00857040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 w:rsidR="00D97CFE">
        <w:rPr>
          <w:rFonts w:ascii="Times New Roman" w:hAnsi="Times New Roman"/>
          <w:sz w:val="24"/>
          <w:szCs w:val="24"/>
        </w:rPr>
        <w:t>29.05.2023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A462EA" w:rsidRPr="00D03A28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D03A28">
        <w:rPr>
          <w:rFonts w:ascii="Times New Roman" w:hAnsi="Times New Roman"/>
          <w:sz w:val="24"/>
          <w:szCs w:val="24"/>
        </w:rPr>
        <w:t>të  saj</w:t>
      </w:r>
      <w:proofErr w:type="gramEnd"/>
      <w:r w:rsidRPr="00D03A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A462EA" w:rsidRPr="00737BFD" w:rsidRDefault="00A462EA" w:rsidP="00A462E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lastRenderedPageBreak/>
        <w:t>Njohuri mbi Ligjin Nr. 9131, datë 08.09.2003, “Për rregullat e etikës në administratën publike”.</w:t>
      </w:r>
    </w:p>
    <w:p w:rsidR="00A462EA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A462EA" w:rsidRPr="004761D6" w:rsidRDefault="004761D6" w:rsidP="004761D6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Ligji nr. 33/2022 “ Per te dhenat e hapura dhe riperdorimin ne informacionit te sektorit public” </w:t>
      </w:r>
      <w:r w:rsidRPr="004761D6">
        <w:rPr>
          <w:rFonts w:ascii="Times New Roman" w:hAnsi="Times New Roman"/>
          <w:sz w:val="24"/>
          <w:szCs w:val="24"/>
        </w:rPr>
        <w:t xml:space="preserve"> 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ED2BD1" w:rsidRPr="00737BFD" w:rsidRDefault="00D97CFE" w:rsidP="00ED2BD1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A462EA" w:rsidRPr="007432BE" w:rsidRDefault="00A462EA" w:rsidP="00A462EA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A462EA" w:rsidRPr="007432BE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7432BE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A462EA" w:rsidRPr="007432BE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A462EA" w:rsidRPr="007432BE" w:rsidRDefault="00A462EA" w:rsidP="00A462E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Eksperiencën e tyre të mëparshme;</w:t>
      </w: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7432BE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7432BE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7432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7432BE">
        <w:rPr>
          <w:rFonts w:ascii="Times New Roman" w:hAnsi="Times New Roman"/>
          <w:sz w:val="24"/>
          <w:szCs w:val="24"/>
        </w:rPr>
        <w:t>.</w:t>
      </w:r>
    </w:p>
    <w:p w:rsidR="00A462EA" w:rsidRPr="007432BE" w:rsidRDefault="00C57CDF" w:rsidP="00A462EA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A462EA" w:rsidRPr="007432BE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Komisioni në përfundim të vlerësimit, njofton individualisht kandidatët që kanë konkuruar për rezultatin e tyre. Kandidatët kanë të drejtë të bëjnë ankim me shkrim në Komisionin e Brendshëm për Lëvizjen paralele për rezultatin e vlerësimit,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3(tre) ditëve kalendarike nga data e njoftimit individual mbi rezultatin. Ankuesi merr përgjigje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3(tre) ditëve kalendarike, nga data e përfundimit të afatit të ankimit. Komisioni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A462E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A462EA" w:rsidRPr="00D03A28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A462EA" w:rsidRPr="00D03A28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D13E74">
              <w:rPr>
                <w:rFonts w:ascii="Times New Roman" w:hAnsi="Times New Roman"/>
                <w:color w:val="FF0000"/>
                <w:sz w:val="24"/>
                <w:szCs w:val="24"/>
              </w:rPr>
              <w:t>07/06/2023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A462EA" w:rsidRPr="00C36532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62EA" w:rsidRPr="00A0451C" w:rsidRDefault="00A462EA" w:rsidP="00A462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 xml:space="preserve">lire dhe /ose </w:t>
      </w:r>
      <w:r w:rsidR="00033258">
        <w:rPr>
          <w:rFonts w:ascii="Times New Roman" w:hAnsi="Times New Roman"/>
          <w:b/>
          <w:i/>
          <w:sz w:val="24"/>
          <w:szCs w:val="24"/>
        </w:rPr>
        <w:t>k</w:t>
      </w:r>
      <w:r>
        <w:rPr>
          <w:rFonts w:ascii="Times New Roman" w:hAnsi="Times New Roman"/>
          <w:b/>
          <w:i/>
          <w:sz w:val="24"/>
          <w:szCs w:val="24"/>
        </w:rPr>
        <w:t>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7432BE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7432BE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7432BE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jetë nëpunës civil i konfirmuar, </w:t>
      </w:r>
      <w:r w:rsidRPr="007432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në kategorinë III-b, IV-a ose IV-b;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7432BE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7432BE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lastRenderedPageBreak/>
        <w:t>Kandidatët duhet të plotësojnë kriteret e veçanta si vijon:</w:t>
      </w:r>
    </w:p>
    <w:p w:rsidR="00583984" w:rsidRPr="004552A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D13E74" w:rsidRPr="00CF51CB" w:rsidRDefault="00D13E74" w:rsidP="00D13E7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CF51CB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CF51CB">
        <w:rPr>
          <w:rFonts w:ascii="Times New Roman" w:hAnsi="Times New Roman"/>
          <w:sz w:val="24"/>
          <w:szCs w:val="24"/>
        </w:rPr>
        <w:t xml:space="preserve">i nivelit të dytë (DND) </w:t>
      </w:r>
      <w:r w:rsidRPr="00CF51CB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Juridike </w:t>
      </w:r>
      <w:r w:rsidRPr="00CF51C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CF51CB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7432BE" w:rsidRDefault="00583984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 w:rsidR="00AC1F5A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(dy)  vite në administratën shtetërore dhe/ose institu</w:t>
      </w:r>
      <w:r w:rsidR="00AC1F5A">
        <w:rPr>
          <w:rFonts w:ascii="Times New Roman" w:hAnsi="Times New Roman"/>
          <w:color w:val="0D0D0D" w:themeColor="text1" w:themeTint="F2"/>
          <w:sz w:val="24"/>
          <w:szCs w:val="24"/>
        </w:rPr>
        <w:t>cione të pavarura, në nivelit ekzekutiv -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ë kenë përvojë pune në profesion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(për aplikuesit jashtë sistemit të Shërbimit Civil)</w:t>
      </w:r>
    </w:p>
    <w:p w:rsidR="00583984" w:rsidRPr="004A7FC7" w:rsidRDefault="00583984" w:rsidP="007A33A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583984" w:rsidRDefault="00583984" w:rsidP="007A33AE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583984" w:rsidRDefault="00583984" w:rsidP="007A33A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sz w:val="24"/>
          <w:szCs w:val="24"/>
        </w:rPr>
        <w:t>Të zotërojnë gjuhën angleze. Përparës</w:t>
      </w:r>
      <w:r w:rsidR="00AC1F5A">
        <w:rPr>
          <w:rFonts w:ascii="Times New Roman" w:hAnsi="Times New Roman"/>
          <w:sz w:val="24"/>
          <w:szCs w:val="24"/>
        </w:rPr>
        <w:t xml:space="preserve">i ka një gjuhë e dytë e BE-së (frengjisht, </w:t>
      </w:r>
      <w:r w:rsidRPr="004A7FC7">
        <w:rPr>
          <w:rFonts w:ascii="Times New Roman" w:hAnsi="Times New Roman"/>
          <w:sz w:val="24"/>
          <w:szCs w:val="24"/>
        </w:rPr>
        <w:t>italisht) .</w:t>
      </w:r>
    </w:p>
    <w:p w:rsidR="00D13E74" w:rsidRDefault="00583984" w:rsidP="00D13E74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13E74">
        <w:rPr>
          <w:rFonts w:ascii="Times New Roman" w:hAnsi="Times New Roman"/>
          <w:sz w:val="24"/>
          <w:szCs w:val="24"/>
        </w:rPr>
        <w:t xml:space="preserve"> </w:t>
      </w:r>
      <w:r w:rsidR="00D13E74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5610C1" w:rsidRPr="00D13E74" w:rsidRDefault="00D13E74" w:rsidP="00D13E74">
      <w:pPr>
        <w:pStyle w:val="ListParagraph"/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Njohje e mirë dhe përdorim i lirshëm i kompjuterit dhe programeve bazë.</w:t>
      </w:r>
    </w:p>
    <w:p w:rsidR="005610C1" w:rsidRDefault="005610C1" w:rsidP="0058398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46317" w:rsidRDefault="00346317" w:rsidP="0058398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7650F6" w:rsidRPr="00545923" w:rsidRDefault="007650F6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1C4450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1C4450" w:rsidRPr="00F3371A" w:rsidRDefault="00C57CDF" w:rsidP="001C4450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C4450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 xml:space="preserve"> Për diplomat e marra jashtë Republikës së Shqipërisë, të përcillet njehsimi nga Ministria e Arsimit, Sportit dhe Rinisë;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lastRenderedPageBreak/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1C4450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</w:t>
      </w:r>
      <w:r w:rsidRPr="00F3371A">
        <w:rPr>
          <w:rFonts w:ascii="Times New Roman" w:hAnsi="Times New Roman"/>
          <w:sz w:val="24"/>
          <w:szCs w:val="24"/>
        </w:rPr>
        <w:t xml:space="preserve">Të dorëzojnë dokumentet e parashikuara në pikën </w:t>
      </w:r>
      <w:r>
        <w:rPr>
          <w:rFonts w:ascii="Times New Roman" w:hAnsi="Times New Roman"/>
          <w:sz w:val="24"/>
          <w:szCs w:val="24"/>
        </w:rPr>
        <w:t>2</w:t>
      </w:r>
      <w:r w:rsidRPr="00F3371A">
        <w:rPr>
          <w:rFonts w:ascii="Times New Roman" w:hAnsi="Times New Roman"/>
          <w:sz w:val="24"/>
          <w:szCs w:val="24"/>
        </w:rPr>
        <w:t xml:space="preserve">.1 </w:t>
      </w:r>
    </w:p>
    <w:p w:rsidR="00AC27D0" w:rsidRPr="00B20E9D" w:rsidRDefault="00AC27D0" w:rsidP="00AC27D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ose te noteriauara </w:t>
      </w:r>
      <w:proofErr w:type="gramStart"/>
      <w:r w:rsidRPr="00B20E9D">
        <w:rPr>
          <w:rFonts w:ascii="Times New Roman" w:hAnsi="Times New Roman"/>
          <w:b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b/>
          <w:sz w:val="24"/>
          <w:szCs w:val="24"/>
        </w:rPr>
        <w:t xml:space="preserve"> datës </w:t>
      </w:r>
      <w:r>
        <w:rPr>
          <w:rFonts w:ascii="Times New Roman" w:hAnsi="Times New Roman"/>
          <w:b/>
          <w:sz w:val="24"/>
          <w:szCs w:val="24"/>
        </w:rPr>
        <w:t>30.05.2023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</w:t>
      </w:r>
      <w:r w:rsidRPr="00B20E9D">
        <w:rPr>
          <w:rFonts w:ascii="Times New Roman" w:hAnsi="Times New Roman"/>
          <w:sz w:val="24"/>
          <w:szCs w:val="24"/>
        </w:rPr>
        <w:t xml:space="preserve"> e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bookmarkStart w:id="0" w:name="_GoBack"/>
            <w:bookmarkEnd w:id="0"/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C234AF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data:</w:t>
            </w:r>
            <w:r w:rsidR="00C234A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 </w:t>
            </w:r>
            <w:r w:rsidR="00C234AF" w:rsidRPr="008D383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07.06.2023</w:t>
            </w:r>
            <w:r w:rsidR="00C234A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 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përgjegjëse)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452AF3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8D383B" w:rsidRPr="00737BFD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8D383B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8D383B" w:rsidRPr="004761D6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Ligji nr. 33/2022 “ Per te dhenat e hapura dhe riperdorimin ne informacionit te sektorit public” </w:t>
      </w:r>
      <w:r w:rsidRPr="004761D6">
        <w:rPr>
          <w:rFonts w:ascii="Times New Roman" w:hAnsi="Times New Roman"/>
          <w:sz w:val="24"/>
          <w:szCs w:val="24"/>
        </w:rPr>
        <w:t xml:space="preserve">  </w:t>
      </w:r>
    </w:p>
    <w:p w:rsidR="008D383B" w:rsidRDefault="008D383B" w:rsidP="008D383B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8D383B" w:rsidRPr="00737BFD" w:rsidRDefault="008D383B" w:rsidP="008D383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lastRenderedPageBreak/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C57CDF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1C4450" w:rsidRPr="00A72F6F" w:rsidRDefault="001C445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Pr="00A72F6F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6A67C1" w:rsidP="001C4450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1C4450" w:rsidRPr="00A72F6F" w:rsidRDefault="001C4450" w:rsidP="001C4450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1C4450" w:rsidRPr="00D34B34" w:rsidTr="008570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1C4450" w:rsidRPr="00D34B34" w:rsidRDefault="001C4450" w:rsidP="00857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C4450" w:rsidRPr="00D34B34" w:rsidRDefault="001C4450" w:rsidP="008570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1C4450" w:rsidRDefault="001C4450" w:rsidP="001C445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847526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7B3F5C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B3F5C">
        <w:rPr>
          <w:rFonts w:ascii="Times New Roman" w:hAnsi="Times New Roman"/>
          <w:sz w:val="24"/>
          <w:szCs w:val="24"/>
        </w:rPr>
        <w:t xml:space="preserve">do të shpallë fituesin në portalin </w:t>
      </w:r>
      <w:r>
        <w:rPr>
          <w:rFonts w:ascii="Times New Roman" w:hAnsi="Times New Roman"/>
          <w:sz w:val="24"/>
          <w:szCs w:val="24"/>
        </w:rPr>
        <w:t xml:space="preserve">“Shërbimi Kombëtar i </w:t>
      </w:r>
      <w:r w:rsidRPr="007B3F5C">
        <w:rPr>
          <w:rFonts w:ascii="Times New Roman" w:hAnsi="Times New Roman"/>
          <w:sz w:val="24"/>
          <w:szCs w:val="24"/>
        </w:rPr>
        <w:t>Punësimit</w:t>
      </w:r>
      <w:r>
        <w:rPr>
          <w:rFonts w:ascii="Times New Roman" w:hAnsi="Times New Roman"/>
          <w:sz w:val="24"/>
          <w:szCs w:val="24"/>
        </w:rPr>
        <w:t xml:space="preserve">”.                     </w:t>
      </w:r>
    </w:p>
    <w:p w:rsidR="001C4450" w:rsidRDefault="001C4450" w:rsidP="001C445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Të gjithë kandidatët pjesëmarrës q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aplikojn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procedur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n 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ngritjes në detyrë dhe /ose pranim nga jashte sherbimit civil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, në këtë </w:t>
      </w:r>
      <w:r>
        <w:rPr>
          <w:rFonts w:ascii="Times New Roman" w:hAnsi="Times New Roman"/>
          <w:color w:val="000000" w:themeColor="text1"/>
          <w:sz w:val="24"/>
          <w:szCs w:val="24"/>
        </w:rPr>
        <w:t>procedure,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do të marrin informacion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fazat e m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tejshme t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kesaj procedure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1C4450" w:rsidRDefault="001C4450" w:rsidP="001C445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për datën e daljes së rezultateve të verifikimit paraprak,</w:t>
      </w:r>
    </w:p>
    <w:p w:rsidR="001C4450" w:rsidRDefault="001C4450" w:rsidP="001C445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-për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datën, vendin dhe orën ku do të zhvillohet konkurimi;</w:t>
      </w:r>
    </w:p>
    <w:p w:rsidR="001C4450" w:rsidRDefault="001C4450" w:rsidP="001C445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lastRenderedPageBreak/>
        <w:t>Për të marrë këtë informacion, kandidatët duhet të vizitojnë në mënyrë të vazhdueshme faqen e KDIMDP-s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 filluar nga data </w:t>
      </w:r>
      <w:r w:rsidR="00C234AF">
        <w:rPr>
          <w:rFonts w:ascii="Times New Roman" w:hAnsi="Times New Roman"/>
          <w:color w:val="000000" w:themeColor="text1"/>
          <w:sz w:val="24"/>
          <w:szCs w:val="24"/>
        </w:rPr>
        <w:t xml:space="preserve">07.06.2023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1C4450" w:rsidRPr="00A72F6F" w:rsidRDefault="001C4450" w:rsidP="001C4450">
      <w:pPr>
        <w:jc w:val="both"/>
        <w:rPr>
          <w:rFonts w:ascii="Times New Roman" w:hAnsi="Times New Roman"/>
          <w:b/>
          <w:sz w:val="24"/>
          <w:szCs w:val="24"/>
        </w:rPr>
      </w:pPr>
      <w:r w:rsidRPr="00A72F6F">
        <w:rPr>
          <w:rFonts w:ascii="Times New Roman" w:hAnsi="Times New Roman"/>
          <w:b/>
          <w:sz w:val="24"/>
          <w:szCs w:val="24"/>
        </w:rPr>
        <w:t xml:space="preserve">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civil, në rast vendimarrje </w:t>
      </w:r>
    </w:p>
    <w:p w:rsidR="001C4450" w:rsidRPr="00B77B08" w:rsidRDefault="001C4450" w:rsidP="001C4450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CE760D" w:rsidRDefault="0064036B" w:rsidP="0064036B">
      <w:pPr>
        <w:pStyle w:val="NormalWeb"/>
        <w:jc w:val="both"/>
        <w:rPr>
          <w:b/>
          <w:spacing w:val="-3"/>
          <w:lang w:val="sq-AL"/>
        </w:rPr>
      </w:pPr>
      <w:r w:rsidRPr="00CE760D">
        <w:rPr>
          <w:b/>
          <w:spacing w:val="-3"/>
          <w:lang w:val="sq-AL"/>
        </w:rPr>
        <w:t>Njësia Përgjegjëse</w:t>
      </w: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CDF" w:rsidRDefault="00C57CDF" w:rsidP="00386E9F">
      <w:pPr>
        <w:spacing w:after="0" w:line="240" w:lineRule="auto"/>
      </w:pPr>
      <w:r>
        <w:separator/>
      </w:r>
    </w:p>
  </w:endnote>
  <w:endnote w:type="continuationSeparator" w:id="0">
    <w:p w:rsidR="00C57CDF" w:rsidRDefault="00C57CDF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AC27D0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CDF" w:rsidRDefault="00C57CDF" w:rsidP="00386E9F">
      <w:pPr>
        <w:spacing w:after="0" w:line="240" w:lineRule="auto"/>
      </w:pPr>
      <w:r>
        <w:separator/>
      </w:r>
    </w:p>
  </w:footnote>
  <w:footnote w:type="continuationSeparator" w:id="0">
    <w:p w:rsidR="00C57CDF" w:rsidRDefault="00C57CDF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0560EF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C32F5"/>
    <w:multiLevelType w:val="hybridMultilevel"/>
    <w:tmpl w:val="E0328994"/>
    <w:lvl w:ilvl="0" w:tplc="94EC88A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BF600D"/>
    <w:multiLevelType w:val="hybridMultilevel"/>
    <w:tmpl w:val="47C4B9D2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23"/>
  </w:num>
  <w:num w:numId="7">
    <w:abstractNumId w:val="14"/>
  </w:num>
  <w:num w:numId="8">
    <w:abstractNumId w:val="29"/>
  </w:num>
  <w:num w:numId="9">
    <w:abstractNumId w:val="11"/>
  </w:num>
  <w:num w:numId="10">
    <w:abstractNumId w:val="25"/>
  </w:num>
  <w:num w:numId="11">
    <w:abstractNumId w:val="19"/>
  </w:num>
  <w:num w:numId="12">
    <w:abstractNumId w:val="7"/>
  </w:num>
  <w:num w:numId="13">
    <w:abstractNumId w:val="2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6"/>
  </w:num>
  <w:num w:numId="18">
    <w:abstractNumId w:val="24"/>
  </w:num>
  <w:num w:numId="19">
    <w:abstractNumId w:val="5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2"/>
  </w:num>
  <w:num w:numId="24">
    <w:abstractNumId w:val="34"/>
  </w:num>
  <w:num w:numId="25">
    <w:abstractNumId w:val="2"/>
  </w:num>
  <w:num w:numId="26">
    <w:abstractNumId w:val="12"/>
  </w:num>
  <w:num w:numId="27">
    <w:abstractNumId w:val="27"/>
  </w:num>
  <w:num w:numId="28">
    <w:abstractNumId w:val="31"/>
  </w:num>
  <w:num w:numId="29">
    <w:abstractNumId w:val="3"/>
  </w:num>
  <w:num w:numId="30">
    <w:abstractNumId w:val="0"/>
  </w:num>
  <w:num w:numId="31">
    <w:abstractNumId w:val="22"/>
  </w:num>
  <w:num w:numId="32">
    <w:abstractNumId w:val="1"/>
  </w:num>
  <w:num w:numId="33">
    <w:abstractNumId w:val="21"/>
  </w:num>
  <w:num w:numId="34">
    <w:abstractNumId w:val="17"/>
  </w:num>
  <w:num w:numId="35">
    <w:abstractNumId w:val="4"/>
  </w:num>
  <w:num w:numId="36">
    <w:abstractNumId w:val="33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D18A5"/>
    <w:rsid w:val="000D3392"/>
    <w:rsid w:val="000D5531"/>
    <w:rsid w:val="000E37E9"/>
    <w:rsid w:val="000F77DD"/>
    <w:rsid w:val="00102D2C"/>
    <w:rsid w:val="00103DD9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39DA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20FE"/>
    <w:rsid w:val="00293CFD"/>
    <w:rsid w:val="00295E42"/>
    <w:rsid w:val="002975F2"/>
    <w:rsid w:val="002976DE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46AD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761D6"/>
    <w:rsid w:val="0048141E"/>
    <w:rsid w:val="00486B16"/>
    <w:rsid w:val="0049085F"/>
    <w:rsid w:val="004A2D61"/>
    <w:rsid w:val="004B35F6"/>
    <w:rsid w:val="004B36FF"/>
    <w:rsid w:val="004B3882"/>
    <w:rsid w:val="004C26AB"/>
    <w:rsid w:val="004D78E9"/>
    <w:rsid w:val="004E0C22"/>
    <w:rsid w:val="004E487F"/>
    <w:rsid w:val="004F2F33"/>
    <w:rsid w:val="004F5461"/>
    <w:rsid w:val="00500E92"/>
    <w:rsid w:val="005101CE"/>
    <w:rsid w:val="0052143C"/>
    <w:rsid w:val="005240A9"/>
    <w:rsid w:val="00524914"/>
    <w:rsid w:val="00534E40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56427"/>
    <w:rsid w:val="006678AB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240C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49D"/>
    <w:rsid w:val="008C5425"/>
    <w:rsid w:val="008C6F26"/>
    <w:rsid w:val="008C71A1"/>
    <w:rsid w:val="008D383B"/>
    <w:rsid w:val="008E6954"/>
    <w:rsid w:val="008F6188"/>
    <w:rsid w:val="00902E37"/>
    <w:rsid w:val="0090513D"/>
    <w:rsid w:val="009102F8"/>
    <w:rsid w:val="00912CF8"/>
    <w:rsid w:val="00916FA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1F5A"/>
    <w:rsid w:val="00AC2133"/>
    <w:rsid w:val="00AC25A5"/>
    <w:rsid w:val="00AC27D0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C0724E"/>
    <w:rsid w:val="00C10C3D"/>
    <w:rsid w:val="00C234AF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57CDF"/>
    <w:rsid w:val="00C616B0"/>
    <w:rsid w:val="00C63E96"/>
    <w:rsid w:val="00C66024"/>
    <w:rsid w:val="00C72D6F"/>
    <w:rsid w:val="00C73EFA"/>
    <w:rsid w:val="00C77821"/>
    <w:rsid w:val="00C8768C"/>
    <w:rsid w:val="00CA3BB6"/>
    <w:rsid w:val="00CB48EB"/>
    <w:rsid w:val="00CC075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CF51CB"/>
    <w:rsid w:val="00D070B9"/>
    <w:rsid w:val="00D13E74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97CFE"/>
    <w:rsid w:val="00DA691E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827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3744</Words>
  <Characters>21346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2023-05-16T07:53:00Z</dcterms:created>
  <dcterms:modified xsi:type="dcterms:W3CDTF">2023-05-16T08:02:00Z</dcterms:modified>
</cp:coreProperties>
</file>